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line="283" w:lineRule="auto"/>
      </w:pPr>
      <w:r>
        <w:rPr>
          <w:rFonts w:ascii="Aptos" w:hAnsi="Aptos"/>
          <w:b/>
          <w:i w:val="0"/>
          <w:color w:val="1677A8"/>
          <w:sz w:val="24"/>
        </w:rPr>
        <w:t>AL1019WZ</w:t>
      </w:r>
    </w:p>
    <w:p>
      <w:pPr>
        <w:pStyle w:val="Title"/>
      </w:pPr>
      <w:r>
        <w:t>19 x 15 W LED Moving Head</w:t>
        <w:br/>
        <w:t>Aura</w:t>
      </w:r>
    </w:p>
    <w:p>
      <w:pPr>
        <w:pStyle w:val="Subtitle"/>
      </w:pPr>
      <w:r>
        <w:t>RGBW 4-IN-1 - MOTORIZED ZOOM - USER MANUAL</w:t>
      </w:r>
    </w:p>
    <w:p>
      <w:pPr>
        <w:spacing w:before="0" w:after="80" w:line="283" w:lineRule="auto"/>
      </w:pPr>
      <w:r>
        <w:rPr>
          <w:rFonts w:ascii="Aptos" w:hAnsi="Aptos"/>
          <w:b w:val="0"/>
          <w:i w:val="0"/>
          <w:color w:val="5A6872"/>
          <w:sz w:val="21"/>
        </w:rPr>
        <w:t>Three-zone RGBW wash, beam and circular-effect moving-head fixture</w:t>
      </w:r>
    </w:p>
    <w:p>
      <w:pPr>
        <w:jc w:val="center"/>
      </w:pPr>
      <w:r>
        <w:drawing>
          <wp:inline xmlns:a="http://schemas.openxmlformats.org/drawingml/2006/main" xmlns:pic="http://schemas.openxmlformats.org/drawingml/2006/picture">
            <wp:extent cx="4005072" cy="4005072"/>
            <wp:docPr id="1" name="Picture 1" title="AL1019WZ LED moving head Aura" descr="User-supplied product photograph of the AL1019WZ 19 x 15 W LED moving head Aura with nineteen lenses illuminated green."/>
            <wp:cNvGraphicFramePr>
              <a:graphicFrameLocks noChangeAspect="1"/>
            </wp:cNvGraphicFramePr>
            <a:graphic>
              <a:graphicData uri="http://schemas.openxmlformats.org/drawingml/2006/picture">
                <pic:pic>
                  <pic:nvPicPr>
                    <pic:cNvPr id="0" name="AL1019WZ (6).jpg"/>
                    <pic:cNvPicPr/>
                  </pic:nvPicPr>
                  <pic:blipFill>
                    <a:blip r:embed="rId58"/>
                    <a:stretch>
                      <a:fillRect/>
                    </a:stretch>
                  </pic:blipFill>
                  <pic:spPr>
                    <a:xfrm>
                      <a:off x="0" y="0"/>
                      <a:ext cx="4005072" cy="4005072"/>
                    </a:xfrm>
                    <a:prstGeom prst="rect"/>
                  </pic:spPr>
                </pic:pic>
              </a:graphicData>
            </a:graphic>
          </wp:inline>
        </w:drawing>
      </w:r>
    </w:p>
    <w:p>
      <w:pPr>
        <w:spacing w:before="80" w:after="160" w:line="269" w:lineRule="auto"/>
        <w:ind w:left="173" w:right="173"/>
        <w:shd w:fill="FDECEC"/>
        <w:pBdr>
          <w:left w:val="single" w:sz="18" w:space="7" w:color="B42318"/>
        </w:pBdr>
      </w:pPr>
      <w:r>
        <w:rPr>
          <w:rFonts w:ascii="Aptos" w:hAnsi="Aptos"/>
          <w:b/>
          <w:color w:val="B42318"/>
          <w:sz w:val="18"/>
        </w:rPr>
        <w:t xml:space="preserve">READ BEFORE USE  </w:t>
      </w:r>
      <w:r>
        <w:rPr>
          <w:rFonts w:ascii="Aptos" w:hAnsi="Aptos"/>
          <w:color w:val="153247"/>
          <w:sz w:val="18"/>
        </w:rPr>
        <w:t>Keep this manual with the fixture. Installation, operation, rigging and service must be performed by qualified personnel.</w:t>
      </w:r>
    </w:p>
    <w:p>
      <w:pPr>
        <w:spacing w:before="40" w:after="100" w:line="283" w:lineRule="auto"/>
        <w:jc w:val="center"/>
      </w:pPr>
      <w:r>
        <w:rPr>
          <w:rFonts w:ascii="Aptos" w:hAnsi="Aptos"/>
          <w:b w:val="0"/>
          <w:i w:val="0"/>
          <w:color w:val="5A6872"/>
          <w:sz w:val="16"/>
        </w:rPr>
        <w:t>English Edition  |  Professionally translated and technically standardized</w:t>
      </w:r>
    </w:p>
    <w:p>
      <w:pPr>
        <w:pStyle w:val="Heading1"/>
      </w:pPr>
      <w:r>
        <w:t>Contents</w:t>
      </w:r>
    </w:p>
    <w:tbl>
      <w:tblPr>
        <w:tblStyle w:val="TableGrid"/>
        <w:tblW w:type="dxa" w:w="9650"/>
        <w:jc w:val="left"/>
        <w:tblLayout w:type="fixed"/>
        <w:tblLook w:firstColumn="1" w:firstRow="1" w:lastColumn="0" w:lastRow="0" w:noHBand="0" w:noVBand="1" w:val="04A0"/>
        <w:tblInd w:w="100" w:type="dxa"/>
      </w:tblPr>
      <w:tblGrid>
        <w:gridCol w:w="1400"/>
        <w:gridCol w:w="8250"/>
      </w:tblGrid>
      <w:tr>
        <w:trPr>
          <w:tblHeader w:val="true"/>
          <w:cantSplit/>
        </w:trPr>
        <w:tc>
          <w:tcPr>
            <w:tcW w:type="dxa" w:w="1400"/>
            <w:tcMar>
              <w:top w:w="55" w:type="dxa"/>
              <w:start w:w="100" w:type="dxa"/>
              <w:bottom w:w="55" w:type="dxa"/>
              <w:end w:w="100" w:type="dxa"/>
            </w:tcMar>
            <w:shd w:fill="1677A8"/>
            <w:vAlign w:val="center"/>
          </w:tcPr>
          <w:p>
            <w:pPr>
              <w:spacing w:before="0" w:after="0" w:line="240" w:lineRule="auto"/>
              <w:jc w:val="center"/>
            </w:pPr>
            <w:r/>
            <w:r>
              <w:rPr>
                <w:rFonts w:ascii="Aptos" w:hAnsi="Aptos"/>
                <w:b/>
                <w:color w:val="FFFFFF"/>
                <w:sz w:val="18"/>
              </w:rPr>
              <w:t>Section</w:t>
            </w:r>
          </w:p>
        </w:tc>
        <w:tc>
          <w:tcPr>
            <w:tcW w:type="dxa" w:w="8250"/>
            <w:tcMar>
              <w:top w:w="55" w:type="dxa"/>
              <w:start w:w="100" w:type="dxa"/>
              <w:bottom w:w="55" w:type="dxa"/>
              <w:end w:w="100" w:type="dxa"/>
            </w:tcMar>
            <w:shd w:fill="1677A8"/>
            <w:vAlign w:val="center"/>
          </w:tcPr>
          <w:p>
            <w:pPr>
              <w:spacing w:before="0" w:after="0" w:line="240" w:lineRule="auto"/>
              <w:jc w:val="left"/>
            </w:pPr>
            <w:r/>
            <w:r>
              <w:rPr>
                <w:rFonts w:ascii="Aptos" w:hAnsi="Aptos"/>
                <w:b/>
                <w:color w:val="FFFFFF"/>
                <w:sz w:val="18"/>
              </w:rPr>
              <w:t>Topic</w:t>
            </w:r>
          </w:p>
        </w:tc>
      </w:tr>
      <w:tr>
        <w:trPr>
          <w:cantSplit/>
        </w:trPr>
        <w:tc>
          <w:tcPr>
            <w:tcW w:type="dxa" w:w="1400"/>
            <w:tcMar>
              <w:top w:w="55" w:type="dxa"/>
              <w:start w:w="100" w:type="dxa"/>
              <w:bottom w:w="55" w:type="dxa"/>
              <w:end w:w="100" w:type="dxa"/>
            </w:tcMar>
            <w:vAlign w:val="center"/>
          </w:tcPr>
          <w:p>
            <w:pPr>
              <w:spacing w:before="0" w:after="0" w:line="240" w:lineRule="auto"/>
              <w:jc w:val="center"/>
            </w:pPr>
            <w:r/>
            <w:r>
              <w:rPr>
                <w:rFonts w:ascii="Aptos" w:hAnsi="Aptos"/>
                <w:b w:val="0"/>
                <w:color w:val="153247"/>
                <w:sz w:val="18"/>
              </w:rPr>
              <w:t>1</w:t>
            </w:r>
          </w:p>
        </w:tc>
        <w:tc>
          <w:tcPr>
            <w:tcW w:type="dxa" w:w="8250"/>
            <w:tcMar>
              <w:top w:w="55" w:type="dxa"/>
              <w:start w:w="100" w:type="dxa"/>
              <w:bottom w:w="55" w:type="dxa"/>
              <w:end w:w="100" w:type="dxa"/>
            </w:tcMar>
            <w:vAlign w:val="center"/>
          </w:tcPr>
          <w:p>
            <w:pPr>
              <w:spacing w:before="0" w:after="0" w:line="240" w:lineRule="auto"/>
              <w:jc w:val="left"/>
            </w:pPr>
            <w:r/>
            <w:r>
              <w:rPr>
                <w:rFonts w:ascii="Aptos" w:hAnsi="Aptos"/>
                <w:b w:val="0"/>
                <w:color w:val="153247"/>
                <w:sz w:val="18"/>
              </w:rPr>
              <w:t>Safety Information</w:t>
            </w:r>
          </w:p>
        </w:tc>
      </w:tr>
      <w:tr>
        <w:trPr>
          <w:cantSplit/>
        </w:trPr>
        <w:tc>
          <w:tcPr>
            <w:tcW w:type="dxa" w:w="1400"/>
            <w:tcMar>
              <w:top w:w="55" w:type="dxa"/>
              <w:start w:w="100" w:type="dxa"/>
              <w:bottom w:w="55" w:type="dxa"/>
              <w:end w:w="100" w:type="dxa"/>
            </w:tcMar>
            <w:shd w:fill="F3F7F9"/>
            <w:vAlign w:val="center"/>
          </w:tcPr>
          <w:p>
            <w:pPr>
              <w:spacing w:before="0" w:after="0" w:line="240" w:lineRule="auto"/>
              <w:jc w:val="center"/>
            </w:pPr>
            <w:r/>
            <w:r>
              <w:rPr>
                <w:rFonts w:ascii="Aptos" w:hAnsi="Aptos"/>
                <w:b w:val="0"/>
                <w:color w:val="153247"/>
                <w:sz w:val="18"/>
              </w:rPr>
              <w:t>2</w:t>
            </w:r>
          </w:p>
        </w:tc>
        <w:tc>
          <w:tcPr>
            <w:tcW w:type="dxa" w:w="8250"/>
            <w:tcMar>
              <w:top w:w="55" w:type="dxa"/>
              <w:start w:w="100" w:type="dxa"/>
              <w:bottom w:w="55" w:type="dxa"/>
              <w:end w:w="100" w:type="dxa"/>
            </w:tcMar>
            <w:shd w:fill="F3F7F9"/>
            <w:vAlign w:val="center"/>
          </w:tcPr>
          <w:p>
            <w:pPr>
              <w:spacing w:before="0" w:after="0" w:line="240" w:lineRule="auto"/>
              <w:jc w:val="left"/>
            </w:pPr>
            <w:r/>
            <w:r>
              <w:rPr>
                <w:rFonts w:ascii="Aptos" w:hAnsi="Aptos"/>
                <w:b w:val="0"/>
                <w:color w:val="153247"/>
                <w:sz w:val="18"/>
              </w:rPr>
              <w:t>Product Overview and Confirmed Specifications</w:t>
            </w:r>
          </w:p>
        </w:tc>
      </w:tr>
      <w:tr>
        <w:trPr>
          <w:cantSplit/>
        </w:trPr>
        <w:tc>
          <w:tcPr>
            <w:tcW w:type="dxa" w:w="1400"/>
            <w:tcMar>
              <w:top w:w="55" w:type="dxa"/>
              <w:start w:w="100" w:type="dxa"/>
              <w:bottom w:w="55" w:type="dxa"/>
              <w:end w:w="100" w:type="dxa"/>
            </w:tcMar>
            <w:vAlign w:val="center"/>
          </w:tcPr>
          <w:p>
            <w:pPr>
              <w:spacing w:before="0" w:after="0" w:line="240" w:lineRule="auto"/>
              <w:jc w:val="center"/>
            </w:pPr>
            <w:r/>
            <w:r>
              <w:rPr>
                <w:rFonts w:ascii="Aptos" w:hAnsi="Aptos"/>
                <w:b w:val="0"/>
                <w:color w:val="153247"/>
                <w:sz w:val="18"/>
              </w:rPr>
              <w:t>3</w:t>
            </w:r>
          </w:p>
        </w:tc>
        <w:tc>
          <w:tcPr>
            <w:tcW w:type="dxa" w:w="8250"/>
            <w:tcMar>
              <w:top w:w="55" w:type="dxa"/>
              <w:start w:w="100" w:type="dxa"/>
              <w:bottom w:w="55" w:type="dxa"/>
              <w:end w:w="100" w:type="dxa"/>
            </w:tcMar>
            <w:vAlign w:val="center"/>
          </w:tcPr>
          <w:p>
            <w:pPr>
              <w:spacing w:before="0" w:after="0" w:line="240" w:lineRule="auto"/>
              <w:jc w:val="left"/>
            </w:pPr>
            <w:r/>
            <w:r>
              <w:rPr>
                <w:rFonts w:ascii="Aptos" w:hAnsi="Aptos"/>
                <w:b w:val="0"/>
                <w:color w:val="153247"/>
                <w:sz w:val="18"/>
              </w:rPr>
              <w:t>Setup, Rigging and Data Connections</w:t>
            </w:r>
          </w:p>
        </w:tc>
      </w:tr>
      <w:tr>
        <w:trPr>
          <w:cantSplit/>
        </w:trPr>
        <w:tc>
          <w:tcPr>
            <w:tcW w:type="dxa" w:w="1400"/>
            <w:tcMar>
              <w:top w:w="55" w:type="dxa"/>
              <w:start w:w="100" w:type="dxa"/>
              <w:bottom w:w="55" w:type="dxa"/>
              <w:end w:w="100" w:type="dxa"/>
            </w:tcMar>
            <w:shd w:fill="F3F7F9"/>
            <w:vAlign w:val="center"/>
          </w:tcPr>
          <w:p>
            <w:pPr>
              <w:spacing w:before="0" w:after="0" w:line="240" w:lineRule="auto"/>
              <w:jc w:val="center"/>
            </w:pPr>
            <w:r/>
            <w:r>
              <w:rPr>
                <w:rFonts w:ascii="Aptos" w:hAnsi="Aptos"/>
                <w:b w:val="0"/>
                <w:color w:val="153247"/>
                <w:sz w:val="18"/>
              </w:rPr>
              <w:t>4</w:t>
            </w:r>
          </w:p>
        </w:tc>
        <w:tc>
          <w:tcPr>
            <w:tcW w:type="dxa" w:w="8250"/>
            <w:tcMar>
              <w:top w:w="55" w:type="dxa"/>
              <w:start w:w="100" w:type="dxa"/>
              <w:bottom w:w="55" w:type="dxa"/>
              <w:end w:w="100" w:type="dxa"/>
            </w:tcMar>
            <w:shd w:fill="F3F7F9"/>
            <w:vAlign w:val="center"/>
          </w:tcPr>
          <w:p>
            <w:pPr>
              <w:spacing w:before="0" w:after="0" w:line="240" w:lineRule="auto"/>
              <w:jc w:val="left"/>
            </w:pPr>
            <w:r/>
            <w:r>
              <w:rPr>
                <w:rFonts w:ascii="Aptos" w:hAnsi="Aptos"/>
                <w:b w:val="0"/>
                <w:color w:val="153247"/>
                <w:sz w:val="18"/>
              </w:rPr>
              <w:t>Control Panel and Menu</w:t>
            </w:r>
          </w:p>
        </w:tc>
      </w:tr>
      <w:tr>
        <w:trPr>
          <w:cantSplit/>
        </w:trPr>
        <w:tc>
          <w:tcPr>
            <w:tcW w:type="dxa" w:w="1400"/>
            <w:tcMar>
              <w:top w:w="55" w:type="dxa"/>
              <w:start w:w="100" w:type="dxa"/>
              <w:bottom w:w="55" w:type="dxa"/>
              <w:end w:w="100" w:type="dxa"/>
            </w:tcMar>
            <w:vAlign w:val="center"/>
          </w:tcPr>
          <w:p>
            <w:pPr>
              <w:spacing w:before="0" w:after="0" w:line="240" w:lineRule="auto"/>
              <w:jc w:val="center"/>
            </w:pPr>
            <w:r/>
            <w:r>
              <w:rPr>
                <w:rFonts w:ascii="Aptos" w:hAnsi="Aptos"/>
                <w:b w:val="0"/>
                <w:color w:val="153247"/>
                <w:sz w:val="18"/>
              </w:rPr>
              <w:t>5</w:t>
            </w:r>
          </w:p>
        </w:tc>
        <w:tc>
          <w:tcPr>
            <w:tcW w:type="dxa" w:w="8250"/>
            <w:tcMar>
              <w:top w:w="55" w:type="dxa"/>
              <w:start w:w="100" w:type="dxa"/>
              <w:bottom w:w="55" w:type="dxa"/>
              <w:end w:w="100" w:type="dxa"/>
            </w:tcMar>
            <w:vAlign w:val="center"/>
          </w:tcPr>
          <w:p>
            <w:pPr>
              <w:spacing w:before="0" w:after="0" w:line="240" w:lineRule="auto"/>
              <w:jc w:val="left"/>
            </w:pPr>
            <w:r/>
            <w:r>
              <w:rPr>
                <w:rFonts w:ascii="Aptos" w:hAnsi="Aptos"/>
                <w:b w:val="0"/>
                <w:color w:val="153247"/>
                <w:sz w:val="18"/>
              </w:rPr>
              <w:t>DMX512 Channel Reference</w:t>
            </w:r>
          </w:p>
        </w:tc>
      </w:tr>
      <w:tr>
        <w:trPr>
          <w:cantSplit/>
        </w:trPr>
        <w:tc>
          <w:tcPr>
            <w:tcW w:type="dxa" w:w="1400"/>
            <w:tcMar>
              <w:top w:w="55" w:type="dxa"/>
              <w:start w:w="100" w:type="dxa"/>
              <w:bottom w:w="55" w:type="dxa"/>
              <w:end w:w="100" w:type="dxa"/>
            </w:tcMar>
            <w:shd w:fill="F3F7F9"/>
            <w:vAlign w:val="center"/>
          </w:tcPr>
          <w:p>
            <w:pPr>
              <w:spacing w:before="0" w:after="0" w:line="240" w:lineRule="auto"/>
              <w:jc w:val="center"/>
            </w:pPr>
            <w:r/>
            <w:r>
              <w:rPr>
                <w:rFonts w:ascii="Aptos" w:hAnsi="Aptos"/>
                <w:b w:val="0"/>
                <w:color w:val="153247"/>
                <w:sz w:val="18"/>
              </w:rPr>
              <w:t>6</w:t>
            </w:r>
          </w:p>
        </w:tc>
        <w:tc>
          <w:tcPr>
            <w:tcW w:type="dxa" w:w="8250"/>
            <w:tcMar>
              <w:top w:w="55" w:type="dxa"/>
              <w:start w:w="100" w:type="dxa"/>
              <w:bottom w:w="55" w:type="dxa"/>
              <w:end w:w="100" w:type="dxa"/>
            </w:tcMar>
            <w:shd w:fill="F3F7F9"/>
            <w:vAlign w:val="center"/>
          </w:tcPr>
          <w:p>
            <w:pPr>
              <w:spacing w:before="0" w:after="0" w:line="240" w:lineRule="auto"/>
              <w:jc w:val="left"/>
            </w:pPr>
            <w:r/>
            <w:r>
              <w:rPr>
                <w:rFonts w:ascii="Aptos" w:hAnsi="Aptos"/>
                <w:b w:val="0"/>
                <w:color w:val="153247"/>
                <w:sz w:val="18"/>
              </w:rPr>
              <w:t>Photometric Data</w:t>
            </w:r>
          </w:p>
        </w:tc>
      </w:tr>
      <w:tr>
        <w:trPr>
          <w:cantSplit/>
        </w:trPr>
        <w:tc>
          <w:tcPr>
            <w:tcW w:type="dxa" w:w="1400"/>
            <w:tcMar>
              <w:top w:w="55" w:type="dxa"/>
              <w:start w:w="100" w:type="dxa"/>
              <w:bottom w:w="55" w:type="dxa"/>
              <w:end w:w="100" w:type="dxa"/>
            </w:tcMar>
            <w:vAlign w:val="center"/>
          </w:tcPr>
          <w:p>
            <w:pPr>
              <w:spacing w:before="0" w:after="0" w:line="240" w:lineRule="auto"/>
              <w:jc w:val="center"/>
            </w:pPr>
            <w:r/>
            <w:r>
              <w:rPr>
                <w:rFonts w:ascii="Aptos" w:hAnsi="Aptos"/>
                <w:b w:val="0"/>
                <w:color w:val="153247"/>
                <w:sz w:val="18"/>
              </w:rPr>
              <w:t>7</w:t>
            </w:r>
          </w:p>
        </w:tc>
        <w:tc>
          <w:tcPr>
            <w:tcW w:type="dxa" w:w="8250"/>
            <w:tcMar>
              <w:top w:w="55" w:type="dxa"/>
              <w:start w:w="100" w:type="dxa"/>
              <w:bottom w:w="55" w:type="dxa"/>
              <w:end w:w="100" w:type="dxa"/>
            </w:tcMar>
            <w:vAlign w:val="center"/>
          </w:tcPr>
          <w:p>
            <w:pPr>
              <w:spacing w:before="0" w:after="0" w:line="240" w:lineRule="auto"/>
              <w:jc w:val="left"/>
            </w:pPr>
            <w:r/>
            <w:r>
              <w:rPr>
                <w:rFonts w:ascii="Aptos" w:hAnsi="Aptos"/>
                <w:b w:val="0"/>
                <w:color w:val="153247"/>
                <w:sz w:val="18"/>
              </w:rPr>
              <w:t>Inspection, Maintenance and Cleaning</w:t>
            </w:r>
          </w:p>
        </w:tc>
      </w:tr>
      <w:tr>
        <w:trPr>
          <w:cantSplit/>
        </w:trPr>
        <w:tc>
          <w:tcPr>
            <w:tcW w:type="dxa" w:w="1400"/>
            <w:tcMar>
              <w:top w:w="55" w:type="dxa"/>
              <w:start w:w="100" w:type="dxa"/>
              <w:bottom w:w="55" w:type="dxa"/>
              <w:end w:w="100" w:type="dxa"/>
            </w:tcMar>
            <w:shd w:fill="F3F7F9"/>
            <w:vAlign w:val="center"/>
          </w:tcPr>
          <w:p>
            <w:pPr>
              <w:spacing w:before="0" w:after="0" w:line="240" w:lineRule="auto"/>
              <w:jc w:val="center"/>
            </w:pPr>
            <w:r/>
            <w:r>
              <w:rPr>
                <w:rFonts w:ascii="Aptos" w:hAnsi="Aptos"/>
                <w:b w:val="0"/>
                <w:color w:val="153247"/>
                <w:sz w:val="18"/>
              </w:rPr>
              <w:t>8</w:t>
            </w:r>
          </w:p>
        </w:tc>
        <w:tc>
          <w:tcPr>
            <w:tcW w:type="dxa" w:w="8250"/>
            <w:tcMar>
              <w:top w:w="55" w:type="dxa"/>
              <w:start w:w="100" w:type="dxa"/>
              <w:bottom w:w="55" w:type="dxa"/>
              <w:end w:w="100" w:type="dxa"/>
            </w:tcMar>
            <w:shd w:fill="F3F7F9"/>
            <w:vAlign w:val="center"/>
          </w:tcPr>
          <w:p>
            <w:pPr>
              <w:spacing w:before="0" w:after="0" w:line="240" w:lineRule="auto"/>
              <w:jc w:val="left"/>
            </w:pPr>
            <w:r/>
            <w:r>
              <w:rPr>
                <w:rFonts w:ascii="Aptos" w:hAnsi="Aptos"/>
                <w:b w:val="0"/>
                <w:color w:val="153247"/>
                <w:sz w:val="18"/>
              </w:rPr>
              <w:t>Troubleshooting and Service</w:t>
            </w:r>
          </w:p>
        </w:tc>
      </w:tr>
    </w:tbl>
    <w:p>
      <w:pPr>
        <w:spacing w:after="40"/>
      </w:pPr>
    </w:p>
    <w:p>
      <w:pPr>
        <w:spacing w:before="80" w:after="160" w:line="269" w:lineRule="auto"/>
        <w:ind w:left="173" w:right="173"/>
        <w:shd w:fill="F3F7F9"/>
        <w:pBdr>
          <w:left w:val="single" w:sz="18" w:space="7" w:color="1677A8"/>
        </w:pBdr>
      </w:pPr>
      <w:r>
        <w:rPr>
          <w:rFonts w:ascii="Aptos" w:hAnsi="Aptos"/>
          <w:b/>
          <w:color w:val="1677A8"/>
          <w:sz w:val="18"/>
        </w:rPr>
        <w:t xml:space="preserve">MODEL IDENTIFICATION  </w:t>
      </w:r>
      <w:r>
        <w:rPr>
          <w:rFonts w:ascii="Aptos" w:hAnsi="Aptos"/>
          <w:color w:val="153247"/>
          <w:sz w:val="18"/>
        </w:rPr>
        <w:t>This edition is organized for model AL1019WZ, as specified by the product owner. Confirm the model, electrical rating and firmware shown on the actual fixture before installation or programming.</w:t>
      </w:r>
    </w:p>
    <w:p>
      <w:pPr>
        <w:spacing w:before="80" w:after="160" w:line="269" w:lineRule="auto"/>
        <w:ind w:left="173" w:right="173"/>
        <w:shd w:fill="FDECEC"/>
        <w:pBdr>
          <w:left w:val="single" w:sz="18" w:space="7" w:color="B42318"/>
        </w:pBdr>
      </w:pPr>
      <w:r>
        <w:rPr>
          <w:rFonts w:ascii="Aptos" w:hAnsi="Aptos"/>
          <w:b/>
          <w:color w:val="B42318"/>
          <w:sz w:val="18"/>
        </w:rPr>
        <w:t xml:space="preserve">SOURCE LIMITS  </w:t>
      </w:r>
      <w:r>
        <w:rPr>
          <w:rFonts w:ascii="Aptos" w:hAnsi="Aptos"/>
          <w:color w:val="153247"/>
          <w:sz w:val="18"/>
        </w:rPr>
        <w:t>The source manual does not state rated input voltage, total power consumption or fixture dimensions. Use the fixture rating label for electrical data; do not estimate total power from LED wattage. The source also contains conflicting maximum-ambient-temperature values, so no single value is published here.</w:t>
      </w:r>
    </w:p>
    <w:p>
      <w:pPr>
        <w:spacing w:before="0" w:after="100" w:line="283" w:lineRule="auto"/>
      </w:pPr>
      <w:r>
        <w:rPr>
          <w:rFonts w:ascii="Aptos" w:hAnsi="Aptos"/>
          <w:b w:val="0"/>
          <w:i w:val="0"/>
          <w:color w:val="5A6872"/>
          <w:sz w:val="18"/>
        </w:rPr>
        <w:t>The product name Aura describes this model/effect family. The source confirms nineteen RGBW emitters and three RGBW control zones; it does not identify a separate aura-ring light source.</w:t>
      </w:r>
    </w:p>
    <w:p>
      <w:pPr>
        <w:pStyle w:val="Heading1"/>
      </w:pPr>
      <w:r>
        <w:t>1  Safety Information</w:t>
      </w:r>
    </w:p>
    <w:p>
      <w:pPr>
        <w:spacing w:before="80" w:after="160" w:line="269" w:lineRule="auto"/>
        <w:ind w:left="173" w:right="173"/>
        <w:shd w:fill="FDECEC"/>
        <w:pBdr>
          <w:left w:val="single" w:sz="18" w:space="7" w:color="B42318"/>
        </w:pBdr>
      </w:pPr>
      <w:r>
        <w:rPr>
          <w:rFonts w:ascii="Aptos" w:hAnsi="Aptos"/>
          <w:b/>
          <w:color w:val="B42318"/>
          <w:sz w:val="18"/>
        </w:rPr>
        <w:t xml:space="preserve">DANGER  </w:t>
      </w:r>
      <w:r>
        <w:rPr>
          <w:rFonts w:ascii="Aptos" w:hAnsi="Aptos"/>
          <w:color w:val="153247"/>
          <w:sz w:val="18"/>
        </w:rPr>
        <w:t>Disconnect AC power and allow the fixture to cool completely before cleaning, inspection, opening the housing or service.</w:t>
      </w:r>
    </w:p>
    <w:p>
      <w:pPr>
        <w:pStyle w:val="ListBullet"/>
      </w:pPr>
      <w:r>
        <w:t>This professional fixture must be installed, operated and serviced by qualified personnel.</w:t>
      </w:r>
    </w:p>
    <w:p>
      <w:pPr>
        <w:pStyle w:val="ListBullet"/>
      </w:pPr>
      <w:r>
        <w:t>Use only the voltage and frequency marked on the product label. Connect the Class I fixture to a protected, properly grounded supply.</w:t>
      </w:r>
    </w:p>
    <w:p>
      <w:pPr>
        <w:pStyle w:val="ListBullet"/>
      </w:pPr>
      <w:r>
        <w:t>Do not operate the fixture with a damaged housing, lens, connector, mounting point, power cable or data cable.</w:t>
      </w:r>
    </w:p>
    <w:p>
      <w:pPr>
        <w:pStyle w:val="ListBullet"/>
      </w:pPr>
      <w:r>
        <w:t>After a large temperature change, leave the fixture disconnected until it reaches ambient temperature and all condensation has evaporated.</w:t>
      </w:r>
    </w:p>
    <w:p>
      <w:pPr>
        <w:pStyle w:val="ListBullet"/>
      </w:pPr>
      <w:r>
        <w:t>Do not look directly into the LEDs at close range. Intense or flashing light may affect photosensitive people; follow local restrictions.</w:t>
      </w:r>
    </w:p>
    <w:p>
      <w:pPr>
        <w:pStyle w:val="ListBullet"/>
      </w:pPr>
      <w:r>
        <w:t>Keep at least 0.5 m clearance from walls and obstructions. Keep fans and ventilation openings clear and do not operate in excessive dust.</w:t>
      </w:r>
    </w:p>
    <w:p>
      <w:pPr>
        <w:pStyle w:val="ListBullet"/>
      </w:pPr>
      <w:r>
        <w:t>Keep combustible materials away from the beam and fixture. Never leave the fixture operating unattended in an unsafe condition.</w:t>
      </w:r>
    </w:p>
    <w:p>
      <w:pPr>
        <w:pStyle w:val="ListBullet"/>
      </w:pPr>
      <w:r>
        <w:t>Carry the fixture by the fixed base or designated handles only. Never lift or suspend it by the moving head.</w:t>
      </w:r>
    </w:p>
    <w:p>
      <w:pPr>
        <w:pStyle w:val="ListBullet"/>
      </w:pPr>
      <w:r>
        <w:t>Stop use immediately if there is smoke, a burning odor, abnormal noise, severe vibration or unexpected overheating; disconnect power and arrange qualified inspection.</w:t>
      </w:r>
    </w:p>
    <w:p>
      <w:pPr>
        <w:spacing w:before="80" w:after="160" w:line="269" w:lineRule="auto"/>
        <w:ind w:left="173" w:right="173"/>
        <w:shd w:fill="FDECEC"/>
        <w:pBdr>
          <w:left w:val="single" w:sz="18" w:space="7" w:color="B42318"/>
        </w:pBdr>
      </w:pPr>
      <w:r>
        <w:rPr>
          <w:rFonts w:ascii="Aptos" w:hAnsi="Aptos"/>
          <w:b/>
          <w:color w:val="B42318"/>
          <w:sz w:val="18"/>
        </w:rPr>
        <w:t xml:space="preserve">IP20 / INDOOR USE  </w:t>
      </w:r>
      <w:r>
        <w:rPr>
          <w:rFonts w:ascii="Aptos" w:hAnsi="Aptos"/>
          <w:color w:val="153247"/>
          <w:sz w:val="18"/>
        </w:rPr>
        <w:t>Protect the fixture from rain, splashing water, condensation, moisture and conductive dust. Do not use it outdoors or in a wet location without a correctly rated enclosure.</w:t>
      </w:r>
    </w:p>
    <w:p>
      <w:pPr>
        <w:pStyle w:val="Heading1"/>
      </w:pPr>
      <w:r>
        <w:t>2  Product Overview and Confirmed Specifications</w:t>
      </w:r>
    </w:p>
    <w:p>
      <w:pPr>
        <w:spacing w:before="0" w:after="100" w:line="283" w:lineRule="auto"/>
      </w:pPr>
      <w:r>
        <w:rPr>
          <w:rFonts w:ascii="Aptos" w:hAnsi="Aptos"/>
          <w:b w:val="0"/>
          <w:i w:val="0"/>
        </w:rPr>
        <w:t>The AL1019WZ is an RGBW moving-head fixture with nineteen 15 W four-in-one LEDs, motorized zoom and two DMX personalities. Its 24-channel personality divides the RGBW array into three control zones for layered color and circular effects. It is intended for stages, theatres, studios, clubs, mobile productions and rental applications.</w:t>
      </w:r>
    </w:p>
    <w:p>
      <w:pPr>
        <w:pStyle w:val="Heading2"/>
      </w:pPr>
      <w:r>
        <w:t>2.1 Confirmed Technical Specifications</w:t>
      </w:r>
    </w:p>
    <w:tbl>
      <w:tblPr>
        <w:tblStyle w:val="TableGrid"/>
        <w:tblW w:type="dxa" w:w="9650"/>
        <w:jc w:val="left"/>
        <w:tblLayout w:type="fixed"/>
        <w:tblLook w:firstColumn="1" w:firstRow="1" w:lastColumn="0" w:lastRow="0" w:noHBand="0" w:noVBand="1" w:val="04A0"/>
        <w:tblInd w:w="85" w:type="dxa"/>
      </w:tblPr>
      <w:tblGrid>
        <w:gridCol w:w="3100"/>
        <w:gridCol w:w="6550"/>
      </w:tblGrid>
      <w:tr>
        <w:trPr>
          <w:tblHeader w:val="true"/>
          <w:cantSplit/>
        </w:trPr>
        <w:tc>
          <w:tcPr>
            <w:tcW w:type="dxa" w:w="310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6"/>
              </w:rPr>
              <w:t>Parameter</w:t>
            </w:r>
          </w:p>
        </w:tc>
        <w:tc>
          <w:tcPr>
            <w:tcW w:type="dxa" w:w="655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6"/>
              </w:rPr>
              <w:t>Confirmed source specification</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Light source</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19 x 15 W high-brightness RGBW 4-in-1 LEDs</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Expected LED life</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50,000 hours (source nominal value)</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Control modes</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DMX512 / Master-Slave / Auto / Sound-active</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DMX personalities</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16CH / 24CH</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Pan</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540 degrees, 16-bit</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Tilt</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270 degrees, 16-bit</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Zoom / beam angle</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8-63 degrees motorized zoom</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Dimming</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0-100% linear dimming</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Strobe</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Electronic strobe, 1-25 Hz nominal</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Color / effects</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RGBW mixing, color-temperature control, rainbow/circular and built-in macro effects</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Positioning</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Position memory and automatic repositioning</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Cooling</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Temperature-controlled fan cooling</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Display / menu</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Onboard display; Chinese and English menu options; 180-degree inversion</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Data connection</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3-pin XLR DMX input/output</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Ingress protection</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IP20 / indoor use</w:t>
            </w:r>
          </w:p>
        </w:tc>
      </w:tr>
      <w:tr>
        <w:trPr>
          <w:cantSplit/>
        </w:trPr>
        <w:tc>
          <w:tcPr>
            <w:tcW w:type="dxa" w:w="31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Packing dimensions</w:t>
            </w:r>
          </w:p>
        </w:tc>
        <w:tc>
          <w:tcPr>
            <w:tcW w:type="dxa" w:w="65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360 x 260 x 460 mm; one fixture per carton</w:t>
            </w:r>
          </w:p>
        </w:tc>
      </w:tr>
      <w:tr>
        <w:trPr>
          <w:cantSplit/>
        </w:trPr>
        <w:tc>
          <w:tcPr>
            <w:tcW w:type="dxa" w:w="310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Net / gross weight</w:t>
            </w:r>
          </w:p>
        </w:tc>
        <w:tc>
          <w:tcPr>
            <w:tcW w:type="dxa" w:w="655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7.5 kg / 9.3 kg</w:t>
            </w:r>
          </w:p>
        </w:tc>
      </w:tr>
    </w:tbl>
    <w:p>
      <w:pPr>
        <w:spacing w:after="40"/>
      </w:pPr>
    </w:p>
    <w:p>
      <w:pPr>
        <w:pStyle w:val="Heading2"/>
      </w:pPr>
      <w:r>
        <w:t>2.2 Package Contents</w:t>
      </w:r>
    </w:p>
    <w:tbl>
      <w:tblPr>
        <w:tblStyle w:val="TableGrid"/>
        <w:tblW w:type="dxa" w:w="9650"/>
        <w:jc w:val="left"/>
        <w:tblLayout w:type="fixed"/>
        <w:tblLook w:firstColumn="1" w:firstRow="1" w:lastColumn="0" w:lastRow="0" w:noHBand="0" w:noVBand="1" w:val="04A0"/>
        <w:tblInd w:w="85" w:type="dxa"/>
      </w:tblPr>
      <w:tblGrid>
        <w:gridCol w:w="7200"/>
        <w:gridCol w:w="2450"/>
      </w:tblGrid>
      <w:tr>
        <w:trPr>
          <w:tblHeader w:val="true"/>
          <w:cantSplit/>
        </w:trPr>
        <w:tc>
          <w:tcPr>
            <w:tcW w:type="dxa" w:w="72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7"/>
              </w:rPr>
              <w:t>Item</w:t>
            </w:r>
          </w:p>
        </w:tc>
        <w:tc>
          <w:tcPr>
            <w:tcW w:type="dxa" w:w="245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7"/>
              </w:rPr>
              <w:t>Quantity</w:t>
            </w:r>
          </w:p>
        </w:tc>
      </w:tr>
      <w:tr>
        <w:trPr>
          <w:cantSplit/>
        </w:trPr>
        <w:tc>
          <w:tcPr>
            <w:tcW w:type="dxa" w:w="7200"/>
            <w:tcMar>
              <w:top w:w="18" w:type="dxa"/>
              <w:start w:w="85" w:type="dxa"/>
              <w:bottom w:w="18" w:type="dxa"/>
              <w:end w:w="85" w:type="dxa"/>
            </w:tcMar>
            <w:vAlign w:val="center"/>
          </w:tcPr>
          <w:p>
            <w:pPr>
              <w:spacing w:before="0" w:after="0" w:line="240" w:lineRule="auto"/>
              <w:jc w:val="left"/>
            </w:pPr>
            <w:r/>
            <w:r>
              <w:rPr>
                <w:rFonts w:ascii="Aptos" w:hAnsi="Aptos"/>
                <w:b w:val="0"/>
                <w:color w:val="153247"/>
                <w:sz w:val="16"/>
              </w:rPr>
              <w:t>AL1019WZ fixture</w:t>
            </w:r>
          </w:p>
        </w:tc>
        <w:tc>
          <w:tcPr>
            <w:tcW w:type="dxa" w:w="2450"/>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w:t>
            </w:r>
          </w:p>
        </w:tc>
      </w:tr>
      <w:tr>
        <w:trPr>
          <w:cantSplit/>
        </w:trPr>
        <w:tc>
          <w:tcPr>
            <w:tcW w:type="dxa" w:w="72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6"/>
              </w:rPr>
              <w:t>Power cable</w:t>
            </w:r>
          </w:p>
        </w:tc>
        <w:tc>
          <w:tcPr>
            <w:tcW w:type="dxa" w:w="24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w:t>
            </w:r>
          </w:p>
        </w:tc>
      </w:tr>
      <w:tr>
        <w:trPr>
          <w:cantSplit/>
        </w:trPr>
        <w:tc>
          <w:tcPr>
            <w:tcW w:type="dxa" w:w="7200"/>
            <w:tcMar>
              <w:top w:w="18" w:type="dxa"/>
              <w:start w:w="85" w:type="dxa"/>
              <w:bottom w:w="18" w:type="dxa"/>
              <w:end w:w="85" w:type="dxa"/>
            </w:tcMar>
            <w:vAlign w:val="center"/>
          </w:tcPr>
          <w:p>
            <w:pPr>
              <w:spacing w:before="0" w:after="0" w:line="240" w:lineRule="auto"/>
              <w:jc w:val="left"/>
            </w:pPr>
            <w:r/>
            <w:r>
              <w:rPr>
                <w:rFonts w:ascii="Aptos" w:hAnsi="Aptos"/>
                <w:b w:val="0"/>
                <w:color w:val="153247"/>
                <w:sz w:val="16"/>
              </w:rPr>
              <w:t>DMX signal cable</w:t>
            </w:r>
          </w:p>
        </w:tc>
        <w:tc>
          <w:tcPr>
            <w:tcW w:type="dxa" w:w="2450"/>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w:t>
            </w:r>
          </w:p>
        </w:tc>
      </w:tr>
      <w:tr>
        <w:trPr>
          <w:cantSplit/>
        </w:trPr>
        <w:tc>
          <w:tcPr>
            <w:tcW w:type="dxa" w:w="72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6"/>
              </w:rPr>
              <w:t>Omega brackets</w:t>
            </w:r>
          </w:p>
        </w:tc>
        <w:tc>
          <w:tcPr>
            <w:tcW w:type="dxa" w:w="24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2</w:t>
            </w:r>
          </w:p>
        </w:tc>
      </w:tr>
      <w:tr>
        <w:trPr>
          <w:cantSplit/>
        </w:trPr>
        <w:tc>
          <w:tcPr>
            <w:tcW w:type="dxa" w:w="7200"/>
            <w:tcMar>
              <w:top w:w="18" w:type="dxa"/>
              <w:start w:w="85" w:type="dxa"/>
              <w:bottom w:w="18" w:type="dxa"/>
              <w:end w:w="85" w:type="dxa"/>
            </w:tcMar>
            <w:vAlign w:val="center"/>
          </w:tcPr>
          <w:p>
            <w:pPr>
              <w:spacing w:before="0" w:after="0" w:line="240" w:lineRule="auto"/>
              <w:jc w:val="left"/>
            </w:pPr>
            <w:r/>
            <w:r>
              <w:rPr>
                <w:rFonts w:ascii="Aptos" w:hAnsi="Aptos"/>
                <w:b w:val="0"/>
                <w:color w:val="153247"/>
                <w:sz w:val="16"/>
              </w:rPr>
              <w:t>Safety cable</w:t>
            </w:r>
          </w:p>
        </w:tc>
        <w:tc>
          <w:tcPr>
            <w:tcW w:type="dxa" w:w="2450"/>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w:t>
            </w:r>
          </w:p>
        </w:tc>
      </w:tr>
      <w:tr>
        <w:trPr>
          <w:cantSplit/>
        </w:trPr>
        <w:tc>
          <w:tcPr>
            <w:tcW w:type="dxa" w:w="72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6"/>
              </w:rPr>
              <w:t>User manual</w:t>
            </w:r>
          </w:p>
        </w:tc>
        <w:tc>
          <w:tcPr>
            <w:tcW w:type="dxa" w:w="24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w:t>
            </w:r>
          </w:p>
        </w:tc>
      </w:tr>
    </w:tbl>
    <w:p>
      <w:pPr>
        <w:spacing w:after="40"/>
      </w:pPr>
    </w:p>
    <w:p>
      <w:pPr>
        <w:spacing w:before="80" w:after="160" w:line="269" w:lineRule="auto"/>
        <w:ind w:left="173" w:right="173"/>
        <w:shd w:fill="F3F7F9"/>
        <w:pBdr>
          <w:left w:val="single" w:sz="18" w:space="7" w:color="1677A8"/>
        </w:pBdr>
      </w:pPr>
      <w:r>
        <w:rPr>
          <w:rFonts w:ascii="Aptos" w:hAnsi="Aptos"/>
          <w:b/>
          <w:color w:val="1677A8"/>
          <w:sz w:val="18"/>
        </w:rPr>
        <w:t xml:space="preserve">BEFORE INSTALLATION  </w:t>
      </w:r>
      <w:r>
        <w:rPr>
          <w:rFonts w:ascii="Aptos" w:hAnsi="Aptos"/>
          <w:color w:val="153247"/>
          <w:sz w:val="18"/>
        </w:rPr>
        <w:t>Inspect the carton and every item for shipping damage. Do not energize a damaged fixture; retain the packaging and contact the supplier.</w:t>
      </w:r>
    </w:p>
    <w:p>
      <w:pPr>
        <w:pStyle w:val="Heading1"/>
      </w:pPr>
      <w:r>
        <w:t>3  Setup, Rigging and Data Connections</w:t>
      </w:r>
    </w:p>
    <w:p>
      <w:pPr>
        <w:pStyle w:val="Heading2"/>
      </w:pPr>
      <w:r>
        <w:t>3.1 AC Power</w:t>
      </w:r>
    </w:p>
    <w:p>
      <w:pPr>
        <w:spacing w:before="0" w:after="100" w:line="283" w:lineRule="auto"/>
      </w:pPr>
      <w:r>
        <w:rPr>
          <w:rFonts w:ascii="Aptos" w:hAnsi="Aptos"/>
          <w:b w:val="0"/>
          <w:i w:val="0"/>
        </w:rPr>
        <w:t>Before connecting power, verify that the voltage and frequency on the product label match the local supply. Complete mounting and data connections before applying power. Disconnect by holding the plug or connector body, never by pulling the cable.</w:t>
      </w:r>
    </w:p>
    <w:p>
      <w:pPr>
        <w:pStyle w:val="Heading2"/>
      </w:pPr>
      <w:r>
        <w:t>3.2 Rigging</w:t>
      </w:r>
    </w:p>
    <w:p>
      <w:pPr>
        <w:spacing w:before="80" w:after="160" w:line="269" w:lineRule="auto"/>
        <w:ind w:left="173" w:right="173"/>
        <w:shd w:fill="FDECEC"/>
        <w:pBdr>
          <w:left w:val="single" w:sz="18" w:space="7" w:color="B42318"/>
        </w:pBdr>
      </w:pPr>
      <w:r>
        <w:rPr>
          <w:rFonts w:ascii="Aptos" w:hAnsi="Aptos"/>
          <w:b/>
          <w:color w:val="B42318"/>
          <w:sz w:val="18"/>
        </w:rPr>
        <w:t xml:space="preserve">STRUCTURAL RATING  </w:t>
      </w:r>
      <w:r>
        <w:rPr>
          <w:rFonts w:ascii="Aptos" w:hAnsi="Aptos"/>
          <w:color w:val="153247"/>
          <w:sz w:val="18"/>
        </w:rPr>
        <w:t>The support and every attachment must be rated for at least ten times the fixture load, or the higher factor required by local regulations. Keep people clear of the area below during installation and service.</w:t>
      </w:r>
    </w:p>
    <w:p>
      <w:pPr>
        <w:pStyle w:val="ListNumber"/>
      </w:pPr>
      <w:r>
        <w:t>Inspect the fixture, two omega brackets, rated clamps, M10 clamp hardware, quarter-turn fasteners, safety cable, mounting points and support structure.</w:t>
      </w:r>
    </w:p>
    <w:p>
      <w:pPr>
        <w:pStyle w:val="ListNumber"/>
      </w:pPr>
      <w:r>
        <w:t>Attach one rated clamp to each omega bracket, then lock both brackets into the base with all quarter-turn fasteners fully engaged.</w:t>
      </w:r>
    </w:p>
    <w:p>
      <w:pPr>
        <w:pStyle w:val="ListNumber"/>
      </w:pPr>
      <w:r>
        <w:t>Attach an independently rated safety cable to the designated safety point. Do not attach it to a carrying handle.</w:t>
      </w:r>
    </w:p>
    <w:p>
      <w:pPr>
        <w:pStyle w:val="ListNumber"/>
      </w:pPr>
      <w:r>
        <w:t>Confirm clearance for the complete 540-degree pan, 270-degree tilt and zoom range, with no cable tension or obstruction.</w:t>
      </w:r>
    </w:p>
    <w:p>
      <w:pPr>
        <w:pStyle w:val="ListNumber"/>
      </w:pPr>
      <w:r>
        <w:t>Recheck every attachment before applying power and inspect the installation at intervals required by local regulations.</w:t>
      </w:r>
    </w:p>
    <w:p>
      <w:pPr>
        <w:pStyle w:val="Heading2"/>
      </w:pPr>
      <w:r>
        <w:t>3.3 DMX512 Connection</w:t>
      </w:r>
    </w:p>
    <w:p>
      <w:pPr>
        <w:spacing w:before="0" w:after="100" w:line="283" w:lineRule="auto"/>
      </w:pPr>
      <w:r>
        <w:rPr>
          <w:rFonts w:ascii="Aptos" w:hAnsi="Aptos"/>
          <w:b w:val="0"/>
          <w:i w:val="0"/>
        </w:rPr>
        <w:t>Use shielded, twisted-pair cable intended for RS-485/DMX512. Connect the controller to DMX IN, then daisy-chain DMX OUT to the next fixture. Assign a unique start address to every independently controlled fixture.</w:t>
      </w:r>
    </w:p>
    <w:tbl>
      <w:tblPr>
        <w:tblStyle w:val="TableGrid"/>
        <w:tblW w:type="dxa" w:w="9650"/>
        <w:jc w:val="left"/>
        <w:tblLayout w:type="fixed"/>
        <w:tblLook w:firstColumn="1" w:firstRow="1" w:lastColumn="0" w:lastRow="0" w:noHBand="0" w:noVBand="1" w:val="04A0"/>
        <w:tblInd w:w="100" w:type="dxa"/>
      </w:tblPr>
      <w:tblGrid>
        <w:gridCol w:w="3000"/>
        <w:gridCol w:w="6650"/>
      </w:tblGrid>
      <w:tr>
        <w:trPr>
          <w:tblHeader w:val="true"/>
          <w:cantSplit/>
        </w:trPr>
        <w:tc>
          <w:tcPr>
            <w:tcW w:type="dxa" w:w="3000"/>
            <w:tcMar>
              <w:top w:w="55" w:type="dxa"/>
              <w:start w:w="100" w:type="dxa"/>
              <w:bottom w:w="55" w:type="dxa"/>
              <w:end w:w="100" w:type="dxa"/>
            </w:tcMar>
            <w:shd w:fill="1677A8"/>
            <w:vAlign w:val="center"/>
          </w:tcPr>
          <w:p>
            <w:pPr>
              <w:spacing w:before="0" w:after="0" w:line="240" w:lineRule="auto"/>
              <w:jc w:val="center"/>
            </w:pPr>
            <w:r/>
            <w:r>
              <w:rPr>
                <w:rFonts w:ascii="Aptos" w:hAnsi="Aptos"/>
                <w:b/>
                <w:color w:val="FFFFFF"/>
                <w:sz w:val="18"/>
              </w:rPr>
              <w:t>3-pin XLR</w:t>
            </w:r>
          </w:p>
        </w:tc>
        <w:tc>
          <w:tcPr>
            <w:tcW w:type="dxa" w:w="6650"/>
            <w:tcMar>
              <w:top w:w="55" w:type="dxa"/>
              <w:start w:w="100" w:type="dxa"/>
              <w:bottom w:w="55" w:type="dxa"/>
              <w:end w:w="100" w:type="dxa"/>
            </w:tcMar>
            <w:shd w:fill="1677A8"/>
            <w:vAlign w:val="center"/>
          </w:tcPr>
          <w:p>
            <w:pPr>
              <w:spacing w:before="0" w:after="0" w:line="240" w:lineRule="auto"/>
              <w:jc w:val="left"/>
            </w:pPr>
            <w:r/>
            <w:r>
              <w:rPr>
                <w:rFonts w:ascii="Aptos" w:hAnsi="Aptos"/>
                <w:b/>
                <w:color w:val="FFFFFF"/>
                <w:sz w:val="18"/>
              </w:rPr>
              <w:t>Signal</w:t>
            </w:r>
          </w:p>
        </w:tc>
      </w:tr>
      <w:tr>
        <w:trPr>
          <w:cantSplit/>
        </w:trPr>
        <w:tc>
          <w:tcPr>
            <w:tcW w:type="dxa" w:w="3000"/>
            <w:tcMar>
              <w:top w:w="55" w:type="dxa"/>
              <w:start w:w="100" w:type="dxa"/>
              <w:bottom w:w="55" w:type="dxa"/>
              <w:end w:w="100" w:type="dxa"/>
            </w:tcMar>
            <w:vAlign w:val="center"/>
          </w:tcPr>
          <w:p>
            <w:pPr>
              <w:spacing w:before="0" w:after="0" w:line="240" w:lineRule="auto"/>
              <w:jc w:val="center"/>
            </w:pPr>
            <w:r/>
            <w:r>
              <w:rPr>
                <w:rFonts w:ascii="Aptos" w:hAnsi="Aptos"/>
                <w:b w:val="0"/>
                <w:color w:val="153247"/>
                <w:sz w:val="17"/>
              </w:rPr>
              <w:t>Pin 1</w:t>
            </w:r>
          </w:p>
        </w:tc>
        <w:tc>
          <w:tcPr>
            <w:tcW w:type="dxa" w:w="6650"/>
            <w:tcMar>
              <w:top w:w="55" w:type="dxa"/>
              <w:start w:w="100" w:type="dxa"/>
              <w:bottom w:w="55" w:type="dxa"/>
              <w:end w:w="100" w:type="dxa"/>
            </w:tcMar>
            <w:vAlign w:val="center"/>
          </w:tcPr>
          <w:p>
            <w:pPr>
              <w:spacing w:before="0" w:after="0" w:line="240" w:lineRule="auto"/>
              <w:jc w:val="left"/>
            </w:pPr>
            <w:r/>
            <w:r>
              <w:rPr>
                <w:rFonts w:ascii="Aptos" w:hAnsi="Aptos"/>
                <w:b w:val="0"/>
                <w:color w:val="153247"/>
                <w:sz w:val="17"/>
              </w:rPr>
              <w:t>Shield / signal common</w:t>
            </w:r>
          </w:p>
        </w:tc>
      </w:tr>
      <w:tr>
        <w:trPr>
          <w:cantSplit/>
        </w:trPr>
        <w:tc>
          <w:tcPr>
            <w:tcW w:type="dxa" w:w="3000"/>
            <w:tcMar>
              <w:top w:w="55" w:type="dxa"/>
              <w:start w:w="100" w:type="dxa"/>
              <w:bottom w:w="55" w:type="dxa"/>
              <w:end w:w="100" w:type="dxa"/>
            </w:tcMar>
            <w:shd w:fill="F3F7F9"/>
            <w:vAlign w:val="center"/>
          </w:tcPr>
          <w:p>
            <w:pPr>
              <w:spacing w:before="0" w:after="0" w:line="240" w:lineRule="auto"/>
              <w:jc w:val="center"/>
            </w:pPr>
            <w:r/>
            <w:r>
              <w:rPr>
                <w:rFonts w:ascii="Aptos" w:hAnsi="Aptos"/>
                <w:b w:val="0"/>
                <w:color w:val="153247"/>
                <w:sz w:val="17"/>
              </w:rPr>
              <w:t>Pin 2</w:t>
            </w:r>
          </w:p>
        </w:tc>
        <w:tc>
          <w:tcPr>
            <w:tcW w:type="dxa" w:w="6650"/>
            <w:tcMar>
              <w:top w:w="55" w:type="dxa"/>
              <w:start w:w="100" w:type="dxa"/>
              <w:bottom w:w="55" w:type="dxa"/>
              <w:end w:w="100" w:type="dxa"/>
            </w:tcMar>
            <w:shd w:fill="F3F7F9"/>
            <w:vAlign w:val="center"/>
          </w:tcPr>
          <w:p>
            <w:pPr>
              <w:spacing w:before="0" w:after="0" w:line="240" w:lineRule="auto"/>
              <w:jc w:val="left"/>
            </w:pPr>
            <w:r/>
            <w:r>
              <w:rPr>
                <w:rFonts w:ascii="Aptos" w:hAnsi="Aptos"/>
                <w:b w:val="0"/>
                <w:color w:val="153247"/>
                <w:sz w:val="17"/>
              </w:rPr>
              <w:t>Data -</w:t>
            </w:r>
          </w:p>
        </w:tc>
      </w:tr>
      <w:tr>
        <w:trPr>
          <w:cantSplit/>
        </w:trPr>
        <w:tc>
          <w:tcPr>
            <w:tcW w:type="dxa" w:w="3000"/>
            <w:tcMar>
              <w:top w:w="55" w:type="dxa"/>
              <w:start w:w="100" w:type="dxa"/>
              <w:bottom w:w="55" w:type="dxa"/>
              <w:end w:w="100" w:type="dxa"/>
            </w:tcMar>
            <w:vAlign w:val="center"/>
          </w:tcPr>
          <w:p>
            <w:pPr>
              <w:spacing w:before="0" w:after="0" w:line="240" w:lineRule="auto"/>
              <w:jc w:val="center"/>
            </w:pPr>
            <w:r/>
            <w:r>
              <w:rPr>
                <w:rFonts w:ascii="Aptos" w:hAnsi="Aptos"/>
                <w:b w:val="0"/>
                <w:color w:val="153247"/>
                <w:sz w:val="17"/>
              </w:rPr>
              <w:t>Pin 3</w:t>
            </w:r>
          </w:p>
        </w:tc>
        <w:tc>
          <w:tcPr>
            <w:tcW w:type="dxa" w:w="6650"/>
            <w:tcMar>
              <w:top w:w="55" w:type="dxa"/>
              <w:start w:w="100" w:type="dxa"/>
              <w:bottom w:w="55" w:type="dxa"/>
              <w:end w:w="100" w:type="dxa"/>
            </w:tcMar>
            <w:vAlign w:val="center"/>
          </w:tcPr>
          <w:p>
            <w:pPr>
              <w:spacing w:before="0" w:after="0" w:line="240" w:lineRule="auto"/>
              <w:jc w:val="left"/>
            </w:pPr>
            <w:r/>
            <w:r>
              <w:rPr>
                <w:rFonts w:ascii="Aptos" w:hAnsi="Aptos"/>
                <w:b w:val="0"/>
                <w:color w:val="153247"/>
                <w:sz w:val="17"/>
              </w:rPr>
              <w:t>Data +</w:t>
            </w:r>
          </w:p>
        </w:tc>
      </w:tr>
    </w:tbl>
    <w:p>
      <w:pPr>
        <w:spacing w:after="40"/>
      </w:pPr>
    </w:p>
    <w:p>
      <w:pPr>
        <w:spacing w:before="80" w:after="160" w:line="269" w:lineRule="auto"/>
        <w:ind w:left="173" w:right="173"/>
        <w:shd w:fill="F3F7F9"/>
        <w:pBdr>
          <w:left w:val="single" w:sz="18" w:space="7" w:color="1677A8"/>
        </w:pBdr>
      </w:pPr>
      <w:r>
        <w:rPr>
          <w:rFonts w:ascii="Aptos" w:hAnsi="Aptos"/>
          <w:b/>
          <w:color w:val="1677A8"/>
          <w:sz w:val="18"/>
        </w:rPr>
        <w:t xml:space="preserve">TERMINATION  </w:t>
      </w:r>
      <w:r>
        <w:rPr>
          <w:rFonts w:ascii="Aptos" w:hAnsi="Aptos"/>
          <w:color w:val="153247"/>
          <w:sz w:val="18"/>
        </w:rPr>
        <w:t>At the last fixture in a long or electrically noisy DMX chain, install a 120 ohm resistor between pins 2 and 3 of a male XLR plug and insert it into DMX OUT.</w:t>
      </w:r>
    </w:p>
    <w:p>
      <w:pPr>
        <w:sectPr>
          <w:headerReference w:type="default" r:id="rId54"/>
          <w:footerReference w:type="default" r:id="rId55"/>
          <w:headerReference w:type="first" r:id="rId56"/>
          <w:footerReference w:type="first" r:id="rId57"/>
          <w:pgSz w:w="12240" w:h="15840"/>
          <w:pgMar w:top="1181" w:right="1181" w:bottom="1181" w:left="1181" w:header="576" w:footer="576" w:gutter="0"/>
          <w:cols w:space="720"/>
          <w:titlePg/>
          <w:docGrid w:linePitch="360"/>
        </w:sectPr>
      </w:pPr>
    </w:p>
    <w:p>
      <w:pPr>
        <w:pStyle w:val="Heading1"/>
      </w:pPr>
      <w:r>
        <w:t>4  Control Panel and Menu</w:t>
      </w:r>
    </w:p>
    <w:p>
      <w:pPr>
        <w:spacing w:before="0" w:after="100" w:line="283" w:lineRule="auto"/>
      </w:pPr>
      <w:r>
        <w:rPr>
          <w:rFonts w:ascii="Aptos" w:hAnsi="Aptos"/>
          <w:b w:val="0"/>
          <w:i w:val="0"/>
        </w:rPr>
        <w:t>Use the menu and confirmation keys to open or save a setting, and the arrow keys to select or change values. Labels may vary slightly with firmware revision.</w:t>
      </w:r>
    </w:p>
    <w:tbl>
      <w:tblPr>
        <w:tblStyle w:val="TableGrid"/>
        <w:tblW w:type="dxa" w:w="14100"/>
        <w:jc w:val="left"/>
        <w:tblLayout w:type="fixed"/>
        <w:tblLook w:firstColumn="1" w:firstRow="1" w:lastColumn="0" w:lastRow="0" w:noHBand="0" w:noVBand="1" w:val="04A0"/>
        <w:tblInd w:w="85" w:type="dxa"/>
      </w:tblPr>
      <w:tblGrid>
        <w:gridCol w:w="1700"/>
        <w:gridCol w:w="2500"/>
        <w:gridCol w:w="3000"/>
        <w:gridCol w:w="6900"/>
      </w:tblGrid>
      <w:tr>
        <w:trPr>
          <w:tblHeader w:val="true"/>
          <w:cantSplit/>
        </w:trPr>
        <w:tc>
          <w:tcPr>
            <w:tcW w:type="dxa" w:w="170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5"/>
              </w:rPr>
              <w:t>Main Menu</w:t>
            </w:r>
          </w:p>
        </w:tc>
        <w:tc>
          <w:tcPr>
            <w:tcW w:type="dxa" w:w="25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5"/>
              </w:rPr>
              <w:t>Item</w:t>
            </w:r>
          </w:p>
        </w:tc>
        <w:tc>
          <w:tcPr>
            <w:tcW w:type="dxa" w:w="30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5"/>
              </w:rPr>
              <w:t>Option / Range</w:t>
            </w:r>
          </w:p>
        </w:tc>
        <w:tc>
          <w:tcPr>
            <w:tcW w:type="dxa" w:w="69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5"/>
              </w:rPr>
              <w:t>Operation</w:t>
            </w:r>
          </w:p>
        </w:tc>
      </w:tr>
      <w:tr>
        <w:trPr>
          <w:cantSplit/>
        </w:trPr>
        <w:tc>
          <w:tcPr>
            <w:tcW w:type="dxa" w:w="17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System</w:t>
            </w:r>
          </w:p>
        </w:tc>
        <w:tc>
          <w:tcPr>
            <w:tcW w:type="dxa" w:w="25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DMX Address</w:t>
            </w:r>
          </w:p>
        </w:tc>
        <w:tc>
          <w:tcPr>
            <w:tcW w:type="dxa" w:w="30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001-512</w:t>
            </w:r>
          </w:p>
        </w:tc>
        <w:tc>
          <w:tcPr>
            <w:tcW w:type="dxa" w:w="69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Set the fixture start address.</w:t>
            </w:r>
          </w:p>
        </w:tc>
      </w:tr>
      <w:tr>
        <w:trPr>
          <w:cantSplit/>
        </w:trPr>
        <w:tc>
          <w:tcPr>
            <w:tcW w:type="dxa" w:w="17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System</w:t>
            </w:r>
          </w:p>
        </w:tc>
        <w:tc>
          <w:tcPr>
            <w:tcW w:type="dxa" w:w="2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Position Encoder</w:t>
            </w:r>
          </w:p>
        </w:tc>
        <w:tc>
          <w:tcPr>
            <w:tcW w:type="dxa" w:w="30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Off / On</w:t>
            </w:r>
          </w:p>
        </w:tc>
        <w:tc>
          <w:tcPr>
            <w:tcW w:type="dxa" w:w="69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Enable or disable the documented encoder setting.</w:t>
            </w:r>
          </w:p>
        </w:tc>
      </w:tr>
      <w:tr>
        <w:trPr>
          <w:cantSplit/>
        </w:trPr>
        <w:tc>
          <w:tcPr>
            <w:tcW w:type="dxa" w:w="17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Movement</w:t>
            </w:r>
          </w:p>
        </w:tc>
        <w:tc>
          <w:tcPr>
            <w:tcW w:type="dxa" w:w="25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Pan Reverse</w:t>
            </w:r>
          </w:p>
        </w:tc>
        <w:tc>
          <w:tcPr>
            <w:tcW w:type="dxa" w:w="30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Off / On</w:t>
            </w:r>
          </w:p>
        </w:tc>
        <w:tc>
          <w:tcPr>
            <w:tcW w:type="dxa" w:w="69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Reverse the pan direction.</w:t>
            </w:r>
          </w:p>
        </w:tc>
      </w:tr>
      <w:tr>
        <w:trPr>
          <w:cantSplit/>
        </w:trPr>
        <w:tc>
          <w:tcPr>
            <w:tcW w:type="dxa" w:w="17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Movement</w:t>
            </w:r>
          </w:p>
        </w:tc>
        <w:tc>
          <w:tcPr>
            <w:tcW w:type="dxa" w:w="2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Tilt Reverse</w:t>
            </w:r>
          </w:p>
        </w:tc>
        <w:tc>
          <w:tcPr>
            <w:tcW w:type="dxa" w:w="30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Off / On</w:t>
            </w:r>
          </w:p>
        </w:tc>
        <w:tc>
          <w:tcPr>
            <w:tcW w:type="dxa" w:w="69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Reverse the tilt direction.</w:t>
            </w:r>
          </w:p>
        </w:tc>
      </w:tr>
      <w:tr>
        <w:trPr>
          <w:cantSplit/>
        </w:trPr>
        <w:tc>
          <w:tcPr>
            <w:tcW w:type="dxa" w:w="17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Run Mode</w:t>
            </w:r>
          </w:p>
        </w:tc>
        <w:tc>
          <w:tcPr>
            <w:tcW w:type="dxa" w:w="25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Operating Mode</w:t>
            </w:r>
          </w:p>
        </w:tc>
        <w:tc>
          <w:tcPr>
            <w:tcW w:type="dxa" w:w="30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DMX / Auto / Sound</w:t>
            </w:r>
          </w:p>
        </w:tc>
        <w:tc>
          <w:tcPr>
            <w:tcW w:type="dxa" w:w="69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Select controller, automatic or sound-active operation.</w:t>
            </w:r>
          </w:p>
        </w:tc>
      </w:tr>
      <w:tr>
        <w:trPr>
          <w:cantSplit/>
        </w:trPr>
        <w:tc>
          <w:tcPr>
            <w:tcW w:type="dxa" w:w="17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Run Mode</w:t>
            </w:r>
          </w:p>
        </w:tc>
        <w:tc>
          <w:tcPr>
            <w:tcW w:type="dxa" w:w="2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Channel Mode</w:t>
            </w:r>
          </w:p>
        </w:tc>
        <w:tc>
          <w:tcPr>
            <w:tcW w:type="dxa" w:w="30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16CH / 24CH</w:t>
            </w:r>
          </w:p>
        </w:tc>
        <w:tc>
          <w:tcPr>
            <w:tcW w:type="dxa" w:w="69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Select the DMX personality.</w:t>
            </w:r>
          </w:p>
        </w:tc>
      </w:tr>
      <w:tr>
        <w:trPr>
          <w:cantSplit/>
        </w:trPr>
        <w:tc>
          <w:tcPr>
            <w:tcW w:type="dxa" w:w="17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Display</w:t>
            </w:r>
          </w:p>
        </w:tc>
        <w:tc>
          <w:tcPr>
            <w:tcW w:type="dxa" w:w="25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Language</w:t>
            </w:r>
          </w:p>
        </w:tc>
        <w:tc>
          <w:tcPr>
            <w:tcW w:type="dxa" w:w="30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Chinese / English</w:t>
            </w:r>
          </w:p>
        </w:tc>
        <w:tc>
          <w:tcPr>
            <w:tcW w:type="dxa" w:w="69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Select the menu language.</w:t>
            </w:r>
          </w:p>
        </w:tc>
      </w:tr>
      <w:tr>
        <w:trPr>
          <w:cantSplit/>
        </w:trPr>
        <w:tc>
          <w:tcPr>
            <w:tcW w:type="dxa" w:w="17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Display</w:t>
            </w:r>
          </w:p>
        </w:tc>
        <w:tc>
          <w:tcPr>
            <w:tcW w:type="dxa" w:w="2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Display Reverse</w:t>
            </w:r>
          </w:p>
        </w:tc>
        <w:tc>
          <w:tcPr>
            <w:tcW w:type="dxa" w:w="30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Off / On</w:t>
            </w:r>
          </w:p>
        </w:tc>
        <w:tc>
          <w:tcPr>
            <w:tcW w:type="dxa" w:w="69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Rotate the display by 180 degrees.</w:t>
            </w:r>
          </w:p>
        </w:tc>
      </w:tr>
      <w:tr>
        <w:trPr>
          <w:cantSplit/>
        </w:trPr>
        <w:tc>
          <w:tcPr>
            <w:tcW w:type="dxa" w:w="17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System</w:t>
            </w:r>
          </w:p>
        </w:tc>
        <w:tc>
          <w:tcPr>
            <w:tcW w:type="dxa" w:w="25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ECO Output</w:t>
            </w:r>
          </w:p>
        </w:tc>
        <w:tc>
          <w:tcPr>
            <w:tcW w:type="dxa" w:w="30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50% / 75% / 100%</w:t>
            </w:r>
          </w:p>
        </w:tc>
        <w:tc>
          <w:tcPr>
            <w:tcW w:type="dxa" w:w="69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Source setting preserved; exact firmware behavior is not defined.</w:t>
            </w:r>
          </w:p>
        </w:tc>
      </w:tr>
      <w:tr>
        <w:trPr>
          <w:cantSplit/>
        </w:trPr>
        <w:tc>
          <w:tcPr>
            <w:tcW w:type="dxa" w:w="17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Factory</w:t>
            </w:r>
          </w:p>
        </w:tc>
        <w:tc>
          <w:tcPr>
            <w:tcW w:type="dxa" w:w="2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Protected Menu</w:t>
            </w:r>
          </w:p>
        </w:tc>
        <w:tc>
          <w:tcPr>
            <w:tcW w:type="dxa" w:w="30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Not documented</w:t>
            </w:r>
          </w:p>
        </w:tc>
        <w:tc>
          <w:tcPr>
            <w:tcW w:type="dxa" w:w="69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Service-only menu; do not change undocumented values.</w:t>
            </w:r>
          </w:p>
        </w:tc>
      </w:tr>
    </w:tbl>
    <w:p>
      <w:pPr>
        <w:spacing w:after="40"/>
      </w:pPr>
    </w:p>
    <w:p>
      <w:pPr>
        <w:spacing w:before="80" w:after="160" w:line="269" w:lineRule="auto"/>
        <w:ind w:left="173" w:right="173"/>
        <w:shd w:fill="FDECEC"/>
        <w:pBdr>
          <w:left w:val="single" w:sz="18" w:space="7" w:color="B42318"/>
        </w:pBdr>
      </w:pPr>
      <w:r>
        <w:rPr>
          <w:rFonts w:ascii="Aptos" w:hAnsi="Aptos"/>
          <w:b/>
          <w:color w:val="B42318"/>
          <w:sz w:val="18"/>
        </w:rPr>
        <w:t xml:space="preserve">UNDOCUMENTED FUNCTIONS  </w:t>
      </w:r>
      <w:r>
        <w:rPr>
          <w:rFonts w:ascii="Aptos" w:hAnsi="Aptos"/>
          <w:color w:val="153247"/>
          <w:sz w:val="18"/>
        </w:rPr>
        <w:t>The source lists Master/Slave control but does not provide its setup workflow. It also does not define the detailed behavior of Position Encoder or ECO Output. Confirm these items on the installed firmware before show programming.</w:t>
      </w:r>
    </w:p>
    <w:p>
      <w:pPr>
        <w:pStyle w:val="Heading1"/>
      </w:pPr>
      <w:r>
        <w:t>5  DMX512 Channel Reference</w:t>
      </w:r>
    </w:p>
    <w:p>
      <w:pPr>
        <w:spacing w:before="0" w:after="100" w:line="283" w:lineRule="auto"/>
      </w:pPr>
      <w:r>
        <w:rPr>
          <w:rFonts w:ascii="Aptos" w:hAnsi="Aptos"/>
          <w:b w:val="0"/>
          <w:i w:val="0"/>
        </w:rPr>
        <w:t>Select the same personality on the fixture and controller. Values increase from 000 to 255 unless a narrower range is shown. Macro, strobe, zoom-direction and color-temperature subranges are not defined in the source and are therefore not invented here.</w:t>
      </w:r>
    </w:p>
    <w:p>
      <w:pPr>
        <w:pStyle w:val="Heading2"/>
      </w:pPr>
      <w:r>
        <w:t>5.1  16-Channel Personality</w:t>
      </w:r>
    </w:p>
    <w:tbl>
      <w:tblPr>
        <w:tblStyle w:val="TableGrid"/>
        <w:tblW w:type="dxa" w:w="14100"/>
        <w:jc w:val="left"/>
        <w:tblLayout w:type="fixed"/>
        <w:tblLook w:firstColumn="1" w:firstRow="1" w:lastColumn="0" w:lastRow="0" w:noHBand="0" w:noVBand="1" w:val="04A0"/>
        <w:tblInd w:w="85" w:type="dxa"/>
      </w:tblPr>
      <w:tblGrid>
        <w:gridCol w:w="950"/>
        <w:gridCol w:w="3250"/>
        <w:gridCol w:w="2300"/>
        <w:gridCol w:w="7600"/>
      </w:tblGrid>
      <w:tr>
        <w:trPr>
          <w:tblHeader w:val="true"/>
          <w:cantSplit/>
        </w:trPr>
        <w:tc>
          <w:tcPr>
            <w:tcW w:type="dxa" w:w="95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4"/>
              </w:rPr>
              <w:t>Channel</w:t>
            </w:r>
          </w:p>
        </w:tc>
        <w:tc>
          <w:tcPr>
            <w:tcW w:type="dxa" w:w="325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4"/>
              </w:rPr>
              <w:t>Function</w:t>
            </w:r>
          </w:p>
        </w:tc>
        <w:tc>
          <w:tcPr>
            <w:tcW w:type="dxa" w:w="230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4"/>
              </w:rPr>
              <w:t>DMX Value</w:t>
            </w:r>
          </w:p>
        </w:tc>
        <w:tc>
          <w:tcPr>
            <w:tcW w:type="dxa" w:w="76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4"/>
              </w:rPr>
              <w:t>Description</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1</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Pan</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0-540 degrees</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2</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Pan Fine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16-bit fine adjustment</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3</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Tilt</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0-270 degrees</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4</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Tilt Fine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16-bit fine adjustment</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5</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Pan / Tilt Speed</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Fast to slow</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6</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Master Dimmer</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Blackout to full output</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7</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Strobe</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Electronic strobe; detailed value bands not supplied</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8</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Red</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9</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Green</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10</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Blue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11</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White</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12</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Zoom</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Motorized zoom; value direction not supplied</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13</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Macro Effect</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Built-in macro selection; map not supplied</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14</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Macro Speed</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Fast to slow</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15</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Color Temperature</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Linear adjustment; endpoints not supplied</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16</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Reset</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4"/>
              </w:rPr>
              <w:t>000-249</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4"/>
              </w:rPr>
              <w:t>No function</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16</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Reset</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4"/>
              </w:rPr>
              <w:t>250-255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4"/>
              </w:rPr>
              <w:t>Reset after value is held for 5 seconds</w:t>
            </w:r>
          </w:p>
        </w:tc>
      </w:tr>
    </w:tbl>
    <w:p>
      <w:pPr>
        <w:spacing w:after="40"/>
      </w:pPr>
    </w:p>
    <w:p>
      <w:pPr>
        <w:pStyle w:val="Heading2"/>
        <w:pageBreakBefore/>
      </w:pPr>
      <w:r>
        <w:t>5.2  24-Channel Personality</w:t>
      </w:r>
    </w:p>
    <w:tbl>
      <w:tblPr>
        <w:tblStyle w:val="TableGrid"/>
        <w:tblW w:type="dxa" w:w="14100"/>
        <w:jc w:val="left"/>
        <w:tblLayout w:type="fixed"/>
        <w:tblLook w:firstColumn="1" w:firstRow="1" w:lastColumn="0" w:lastRow="0" w:noHBand="0" w:noVBand="1" w:val="04A0"/>
        <w:tblInd w:w="85" w:type="dxa"/>
      </w:tblPr>
      <w:tblGrid>
        <w:gridCol w:w="950"/>
        <w:gridCol w:w="3250"/>
        <w:gridCol w:w="2300"/>
        <w:gridCol w:w="7600"/>
      </w:tblGrid>
      <w:tr>
        <w:trPr>
          <w:tblHeader w:val="true"/>
          <w:cantSplit/>
        </w:trPr>
        <w:tc>
          <w:tcPr>
            <w:tcW w:type="dxa" w:w="95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4"/>
              </w:rPr>
              <w:t>Channel</w:t>
            </w:r>
          </w:p>
        </w:tc>
        <w:tc>
          <w:tcPr>
            <w:tcW w:type="dxa" w:w="325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4"/>
              </w:rPr>
              <w:t>Function</w:t>
            </w:r>
          </w:p>
        </w:tc>
        <w:tc>
          <w:tcPr>
            <w:tcW w:type="dxa" w:w="230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4"/>
              </w:rPr>
              <w:t>DMX Value</w:t>
            </w:r>
          </w:p>
        </w:tc>
        <w:tc>
          <w:tcPr>
            <w:tcW w:type="dxa" w:w="76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4"/>
              </w:rPr>
              <w:t>Description</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1</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Pan</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0-540 degrees</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2</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Pan Fine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16-bit fine adjustment</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3</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Tilt</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0-270 degrees</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4</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Tilt Fine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16-bit fine adjustment</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5</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Pan / Tilt Speed</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Fast to slow</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6</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Zoom</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Motorized zoom; value direction not supplied</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7</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Master Dimmer</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Blackout to full output</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8</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Strobe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Electronic strobe; detailed value bands not supplied</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9</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Zone 1 Red</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10</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Zone 1 Green</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11</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Zone 1 Blue</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12</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Zone 1 White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13</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Zone 2 Red</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14</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Zone 2 Green</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15</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Zone 2 Blue</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16</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Zone 2 White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17</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Zone 3 Red</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18</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Zone 3 Green</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19</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Zone 3 Blue</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20</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Zone 3 White</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0-100%</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21</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Macro Effect</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Built-in macro selection; map not supplied</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22</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Macro Speed</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Fast to slow</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23</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Color Temperature</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000-255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Linear adjustment; endpoints not supplied</w:t>
            </w:r>
          </w:p>
        </w:tc>
      </w:tr>
      <w:tr>
        <w:trPr>
          <w:cantSplit/>
        </w:trPr>
        <w:tc>
          <w:tcPr>
            <w:tcW w:type="dxa" w:w="9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24</w:t>
            </w:r>
          </w:p>
        </w:tc>
        <w:tc>
          <w:tcPr>
            <w:tcW w:type="dxa" w:w="325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Reset</w:t>
            </w:r>
          </w:p>
        </w:tc>
        <w:tc>
          <w:tcPr>
            <w:tcW w:type="dxa" w:w="230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3"/>
              </w:rPr>
              <w:t>000-249</w:t>
            </w:r>
          </w:p>
        </w:tc>
        <w:tc>
          <w:tcPr>
            <w:tcW w:type="dxa" w:w="76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3"/>
              </w:rPr>
              <w:t>No function</w:t>
            </w:r>
          </w:p>
        </w:tc>
      </w:tr>
      <w:tr>
        <w:trPr>
          <w:cantSplit/>
        </w:trPr>
        <w:tc>
          <w:tcPr>
            <w:tcW w:type="dxa" w:w="95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24</w:t>
            </w:r>
          </w:p>
        </w:tc>
        <w:tc>
          <w:tcPr>
            <w:tcW w:type="dxa" w:w="325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Reset</w:t>
            </w:r>
          </w:p>
        </w:tc>
        <w:tc>
          <w:tcPr>
            <w:tcW w:type="dxa" w:w="2300"/>
            <w:tcMar>
              <w:top w:w="18" w:type="dxa"/>
              <w:start w:w="85" w:type="dxa"/>
              <w:bottom w:w="18" w:type="dxa"/>
              <w:end w:w="85" w:type="dxa"/>
            </w:tcMar>
            <w:vAlign w:val="center"/>
          </w:tcPr>
          <w:p>
            <w:pPr>
              <w:spacing w:before="0" w:after="0" w:line="240" w:lineRule="auto"/>
              <w:jc w:val="center"/>
            </w:pPr>
            <w:r/>
            <w:r>
              <w:rPr>
                <w:rFonts w:ascii="Aptos" w:hAnsi="Aptos"/>
                <w:b w:val="0"/>
                <w:color w:val="153247"/>
                <w:sz w:val="13"/>
              </w:rPr>
              <w:t>250-255</w:t>
            </w:r>
          </w:p>
        </w:tc>
        <w:tc>
          <w:tcPr>
            <w:tcW w:type="dxa" w:w="7600"/>
            <w:tcMar>
              <w:top w:w="18" w:type="dxa"/>
              <w:start w:w="85" w:type="dxa"/>
              <w:bottom w:w="18" w:type="dxa"/>
              <w:end w:w="85" w:type="dxa"/>
            </w:tcMar>
            <w:vAlign w:val="center"/>
          </w:tcPr>
          <w:p>
            <w:pPr>
              <w:spacing w:before="0" w:after="0" w:line="240" w:lineRule="auto"/>
              <w:jc w:val="left"/>
            </w:pPr>
            <w:r/>
            <w:r>
              <w:rPr>
                <w:rFonts w:ascii="Aptos" w:hAnsi="Aptos"/>
                <w:b w:val="0"/>
                <w:color w:val="153247"/>
                <w:sz w:val="13"/>
              </w:rPr>
              <w:t>Reset after value is held for 5 seconds</w:t>
            </w:r>
          </w:p>
        </w:tc>
      </w:tr>
    </w:tbl>
    <w:p>
      <w:pPr>
        <w:spacing w:after="40"/>
      </w:pPr>
    </w:p>
    <w:p>
      <w:pPr>
        <w:spacing w:before="80" w:after="160" w:line="269" w:lineRule="auto"/>
        <w:ind w:left="173" w:right="173"/>
        <w:shd w:fill="FDECEC"/>
        <w:pBdr>
          <w:left w:val="single" w:sz="18" w:space="7" w:color="B42318"/>
        </w:pBdr>
      </w:pPr>
      <w:r>
        <w:rPr>
          <w:rFonts w:ascii="Aptos" w:hAnsi="Aptos"/>
          <w:b/>
          <w:color w:val="B42318"/>
          <w:sz w:val="18"/>
        </w:rPr>
        <w:t xml:space="preserve">ZONE MAP  </w:t>
      </w:r>
      <w:r>
        <w:rPr>
          <w:rFonts w:ascii="Aptos" w:hAnsi="Aptos"/>
          <w:color w:val="153247"/>
          <w:sz w:val="18"/>
        </w:rPr>
        <w:t>The source defines three RGBW control zones but does not show which lenses belong to Zones 1, 2 and 3. Build a low-intensity RGBW test scene and document the physical mapping before programming production cues.</w:t>
      </w:r>
    </w:p>
    <w:p>
      <w:pPr>
        <w:pStyle w:val="Heading1"/>
      </w:pPr>
      <w:r>
        <w:t>6  Photometric Data</w:t>
      </w:r>
    </w:p>
    <w:p>
      <w:pPr>
        <w:spacing w:before="0" w:after="100" w:line="283" w:lineRule="auto"/>
      </w:pPr>
      <w:r>
        <w:rPr>
          <w:rFonts w:ascii="Aptos" w:hAnsi="Aptos"/>
          <w:b w:val="0"/>
          <w:i w:val="0"/>
        </w:rPr>
        <w:t>The 8-degree illuminance values below are copied from the source test data. Actual output varies with production tolerance, optical condition, mains quality, fixture temperature and measurement method.</w:t>
      </w:r>
    </w:p>
    <w:p>
      <w:pPr>
        <w:pStyle w:val="Heading2"/>
      </w:pPr>
      <w:r>
        <w:t>6.1  8-Degree Beam</w:t>
      </w:r>
    </w:p>
    <w:tbl>
      <w:tblPr>
        <w:tblStyle w:val="TableGrid"/>
        <w:tblW w:type="dxa" w:w="14100"/>
        <w:jc w:val="left"/>
        <w:tblLayout w:type="fixed"/>
        <w:tblLook w:firstColumn="1" w:firstRow="1" w:lastColumn="0" w:lastRow="0" w:noHBand="0" w:noVBand="1" w:val="04A0"/>
        <w:tblInd w:w="85" w:type="dxa"/>
      </w:tblPr>
      <w:tblGrid>
        <w:gridCol w:w="1800"/>
        <w:gridCol w:w="3075"/>
        <w:gridCol w:w="3075"/>
        <w:gridCol w:w="3075"/>
        <w:gridCol w:w="3075"/>
      </w:tblGrid>
      <w:tr>
        <w:trPr>
          <w:tblHeader w:val="true"/>
          <w:cantSplit/>
        </w:trPr>
        <w:tc>
          <w:tcPr>
            <w:tcW w:type="dxa" w:w="18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6"/>
              </w:rPr>
              <w:t>Color</w:t>
            </w:r>
          </w:p>
        </w:tc>
        <w:tc>
          <w:tcPr>
            <w:tcW w:type="dxa" w:w="3075"/>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6"/>
              </w:rPr>
              <w:t>2 m</w:t>
            </w:r>
          </w:p>
        </w:tc>
        <w:tc>
          <w:tcPr>
            <w:tcW w:type="dxa" w:w="3075"/>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6"/>
              </w:rPr>
              <w:t>4 m</w:t>
            </w:r>
          </w:p>
        </w:tc>
        <w:tc>
          <w:tcPr>
            <w:tcW w:type="dxa" w:w="3075"/>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6"/>
              </w:rPr>
              <w:t>6 m</w:t>
            </w:r>
          </w:p>
        </w:tc>
        <w:tc>
          <w:tcPr>
            <w:tcW w:type="dxa" w:w="3075"/>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6"/>
              </w:rPr>
              <w:t>8 m</w:t>
            </w:r>
          </w:p>
        </w:tc>
      </w:tr>
      <w:tr>
        <w:trPr>
          <w:cantSplit/>
        </w:trPr>
        <w:tc>
          <w:tcPr>
            <w:tcW w:type="dxa" w:w="1800"/>
            <w:tcMar>
              <w:top w:w="18" w:type="dxa"/>
              <w:start w:w="85" w:type="dxa"/>
              <w:bottom w:w="18" w:type="dxa"/>
              <w:end w:w="85" w:type="dxa"/>
            </w:tcMar>
            <w:vAlign w:val="center"/>
          </w:tcPr>
          <w:p>
            <w:pPr>
              <w:spacing w:before="0" w:after="0" w:line="240" w:lineRule="auto"/>
              <w:jc w:val="left"/>
            </w:pPr>
            <w:r/>
            <w:r>
              <w:rPr>
                <w:rFonts w:ascii="Aptos" w:hAnsi="Aptos"/>
                <w:b w:val="0"/>
                <w:color w:val="153247"/>
                <w:sz w:val="16"/>
              </w:rPr>
              <w:t>Red</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7,200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1,900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1,000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620 lux</w:t>
            </w:r>
          </w:p>
        </w:tc>
      </w:tr>
      <w:tr>
        <w:trPr>
          <w:cantSplit/>
        </w:trPr>
        <w:tc>
          <w:tcPr>
            <w:tcW w:type="dxa" w:w="18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6"/>
              </w:rPr>
              <w:t>Green</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14,800 lux</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3,900 lux</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1,900 lux</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1,200 lux</w:t>
            </w:r>
          </w:p>
        </w:tc>
      </w:tr>
      <w:tr>
        <w:trPr>
          <w:cantSplit/>
        </w:trPr>
        <w:tc>
          <w:tcPr>
            <w:tcW w:type="dxa" w:w="1800"/>
            <w:tcMar>
              <w:top w:w="18" w:type="dxa"/>
              <w:start w:w="85" w:type="dxa"/>
              <w:bottom w:w="18" w:type="dxa"/>
              <w:end w:w="85" w:type="dxa"/>
            </w:tcMar>
            <w:vAlign w:val="center"/>
          </w:tcPr>
          <w:p>
            <w:pPr>
              <w:spacing w:before="0" w:after="0" w:line="240" w:lineRule="auto"/>
              <w:jc w:val="left"/>
            </w:pPr>
            <w:r/>
            <w:r>
              <w:rPr>
                <w:rFonts w:ascii="Aptos" w:hAnsi="Aptos"/>
                <w:b w:val="0"/>
                <w:color w:val="153247"/>
                <w:sz w:val="16"/>
              </w:rPr>
              <w:t>Blue</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14,800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3,950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1,950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1,200 lux</w:t>
            </w:r>
          </w:p>
        </w:tc>
      </w:tr>
      <w:tr>
        <w:trPr>
          <w:cantSplit/>
        </w:trPr>
        <w:tc>
          <w:tcPr>
            <w:tcW w:type="dxa" w:w="18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6"/>
              </w:rPr>
              <w:t>White</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15,200 lux</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3,850 lux</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1,950 lux</w:t>
            </w:r>
          </w:p>
        </w:tc>
        <w:tc>
          <w:tcPr>
            <w:tcW w:type="dxa" w:w="3075"/>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6"/>
              </w:rPr>
              <w:t>1,200 lux</w:t>
            </w:r>
          </w:p>
        </w:tc>
      </w:tr>
      <w:tr>
        <w:trPr>
          <w:cantSplit/>
        </w:trPr>
        <w:tc>
          <w:tcPr>
            <w:tcW w:type="dxa" w:w="1800"/>
            <w:tcMar>
              <w:top w:w="18" w:type="dxa"/>
              <w:start w:w="85" w:type="dxa"/>
              <w:bottom w:w="18" w:type="dxa"/>
              <w:end w:w="85" w:type="dxa"/>
            </w:tcMar>
            <w:vAlign w:val="center"/>
          </w:tcPr>
          <w:p>
            <w:pPr>
              <w:spacing w:before="0" w:after="0" w:line="240" w:lineRule="auto"/>
              <w:jc w:val="left"/>
            </w:pPr>
            <w:r/>
            <w:r>
              <w:rPr>
                <w:rFonts w:ascii="Aptos" w:hAnsi="Aptos"/>
                <w:b w:val="0"/>
                <w:color w:val="153247"/>
                <w:sz w:val="16"/>
              </w:rPr>
              <w:t>RGBW</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41,100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10,000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4,600 lux</w:t>
            </w:r>
          </w:p>
        </w:tc>
        <w:tc>
          <w:tcPr>
            <w:tcW w:type="dxa" w:w="3075"/>
            <w:tcMar>
              <w:top w:w="18" w:type="dxa"/>
              <w:start w:w="85" w:type="dxa"/>
              <w:bottom w:w="18" w:type="dxa"/>
              <w:end w:w="85" w:type="dxa"/>
            </w:tcMar>
            <w:vAlign w:val="center"/>
          </w:tcPr>
          <w:p>
            <w:pPr>
              <w:spacing w:before="0" w:after="0" w:line="240" w:lineRule="auto"/>
              <w:jc w:val="center"/>
            </w:pPr>
            <w:r/>
            <w:r>
              <w:rPr>
                <w:rFonts w:ascii="Aptos" w:hAnsi="Aptos"/>
                <w:b w:val="0"/>
                <w:color w:val="153247"/>
                <w:sz w:val="16"/>
              </w:rPr>
              <w:t>2,550 lux</w:t>
            </w:r>
          </w:p>
        </w:tc>
      </w:tr>
    </w:tbl>
    <w:p>
      <w:pPr>
        <w:spacing w:after="40"/>
      </w:pPr>
    </w:p>
    <w:p>
      <w:pPr>
        <w:spacing w:before="80" w:after="160" w:line="269" w:lineRule="auto"/>
        <w:ind w:left="173" w:right="173"/>
        <w:shd w:fill="FDECEC"/>
        <w:pBdr>
          <w:left w:val="single" w:sz="18" w:space="7" w:color="B42318"/>
        </w:pBdr>
      </w:pPr>
      <w:r>
        <w:rPr>
          <w:rFonts w:ascii="Aptos" w:hAnsi="Aptos"/>
          <w:b/>
          <w:color w:val="B42318"/>
          <w:sz w:val="18"/>
        </w:rPr>
        <w:t xml:space="preserve">DATA-QUALITY NOTE  </w:t>
      </w:r>
      <w:r>
        <w:rPr>
          <w:rFonts w:ascii="Aptos" w:hAnsi="Aptos"/>
          <w:color w:val="153247"/>
          <w:sz w:val="18"/>
        </w:rPr>
        <w:t>The source also contains a 50-degree table, but one color row is internally non-monotonic. That table is withheld pending a verified remeasurement; the omission does not change the documented 8-63 degree motorized zoom range.</w:t>
      </w:r>
    </w:p>
    <w:p>
      <w:pPr>
        <w:pStyle w:val="Heading2"/>
      </w:pPr>
      <w:r>
        <w:t>6.2 Application Guidance</w:t>
      </w:r>
    </w:p>
    <w:p>
      <w:pPr>
        <w:pStyle w:val="ListBullet"/>
      </w:pPr>
      <w:r>
        <w:t>Use the narrow end of the zoom range for higher center intensity and beam effects.</w:t>
      </w:r>
    </w:p>
    <w:p>
      <w:pPr>
        <w:pStyle w:val="ListBullet"/>
      </w:pPr>
      <w:r>
        <w:t>Use wider zoom settings for wash coverage; confirm uniformity and overlap in the actual venue.</w:t>
      </w:r>
    </w:p>
    <w:p>
      <w:pPr>
        <w:pStyle w:val="ListBullet"/>
      </w:pPr>
      <w:r>
        <w:t>Photometric data is nominal and is not a substitute for an on-site lighting test.</w:t>
      </w:r>
    </w:p>
    <w:p>
      <w:pPr>
        <w:sectPr>
          <w:headerReference w:type="default" r:id="rId59"/>
          <w:footerReference w:type="default" r:id="rId60"/>
          <w:pgSz w:w="15840" w:h="12240" w:orient="landscape"/>
          <w:pgMar w:top="792" w:right="792" w:bottom="792" w:left="792" w:header="576" w:footer="576" w:gutter="0"/>
          <w:cols w:space="720"/>
          <w:docGrid w:linePitch="360"/>
        </w:sectPr>
      </w:pPr>
    </w:p>
    <w:p>
      <w:pPr>
        <w:pStyle w:val="Heading1"/>
        <w:pageBreakBefore w:val="0"/>
      </w:pPr>
      <w:r>
        <w:t>7  Inspection, Maintenance and Cleaning</w:t>
      </w:r>
    </w:p>
    <w:p>
      <w:pPr>
        <w:spacing w:before="80" w:after="160" w:line="269" w:lineRule="auto"/>
        <w:ind w:left="173" w:right="173"/>
        <w:shd w:fill="FDECEC"/>
        <w:pBdr>
          <w:left w:val="single" w:sz="18" w:space="7" w:color="B42318"/>
        </w:pBdr>
      </w:pPr>
      <w:r>
        <w:rPr>
          <w:rFonts w:ascii="Aptos" w:hAnsi="Aptos"/>
          <w:b/>
          <w:color w:val="B42318"/>
          <w:sz w:val="18"/>
        </w:rPr>
        <w:t xml:space="preserve">ATTENTION  </w:t>
      </w:r>
      <w:r>
        <w:rPr>
          <w:rFonts w:ascii="Aptos" w:hAnsi="Aptos"/>
          <w:color w:val="153247"/>
          <w:sz w:val="18"/>
        </w:rPr>
        <w:t>Disconnect AC power and allow the fixture to cool completely before inspection or cleaning.</w:t>
      </w:r>
    </w:p>
    <w:p>
      <w:pPr>
        <w:pStyle w:val="ListBullet"/>
      </w:pPr>
      <w:r>
        <w:t>Before each use, inspect the housing, lens, screws, brackets, clamps, safety cable and mounting points for looseness, corrosion, cracks or deformation.</w:t>
      </w:r>
    </w:p>
    <w:p>
      <w:pPr>
        <w:pStyle w:val="ListBullet"/>
      </w:pPr>
      <w:r>
        <w:t>Inspect pan, tilt and zoom movement for obstruction, imbalance, excessive resistance, unusual noise or vibration.</w:t>
      </w:r>
    </w:p>
    <w:p>
      <w:pPr>
        <w:pStyle w:val="ListBullet"/>
      </w:pPr>
      <w:r>
        <w:t>Inspect power and data cables and connectors for cuts, fatigue, exposed conductors, bent contacts or heat damage.</w:t>
      </w:r>
    </w:p>
    <w:p>
      <w:pPr>
        <w:pStyle w:val="ListBullet"/>
      </w:pPr>
      <w:r>
        <w:t>Clean the exterior lens and housing with a soft, lint-free cloth lightly dampened with clean water. Do not use alcohol, solvents, abrasives or strong detergent.</w:t>
      </w:r>
    </w:p>
    <w:p>
      <w:pPr>
        <w:pStyle w:val="ListBullet"/>
      </w:pPr>
      <w:r>
        <w:t>Keep fans and ventilation openings free of dust. Cleaning frequency depends on duty cycle, haze-fluid residue and the operating environment.</w:t>
      </w:r>
    </w:p>
    <w:p>
      <w:pPr>
        <w:pStyle w:val="ListBullet"/>
      </w:pPr>
      <w:r>
        <w:t>Internal cleaning, fan service, electrical inspection, LED-module replacement and calibration must be performed by a qualified technician.</w:t>
      </w:r>
    </w:p>
    <w:p>
      <w:pPr>
        <w:spacing w:before="80" w:after="160" w:line="269" w:lineRule="auto"/>
        <w:ind w:left="173" w:right="173"/>
        <w:shd w:fill="F3F7F9"/>
        <w:pBdr>
          <w:left w:val="single" w:sz="18" w:space="7" w:color="1677A8"/>
        </w:pBdr>
      </w:pPr>
      <w:r>
        <w:rPr>
          <w:rFonts w:ascii="Aptos" w:hAnsi="Aptos"/>
          <w:b/>
          <w:color w:val="1677A8"/>
          <w:sz w:val="18"/>
        </w:rPr>
        <w:t xml:space="preserve">NO USER-SERVICEABLE PARTS  </w:t>
      </w:r>
      <w:r>
        <w:rPr>
          <w:rFonts w:ascii="Aptos" w:hAnsi="Aptos"/>
          <w:color w:val="153247"/>
          <w:sz w:val="18"/>
        </w:rPr>
        <w:t>Do not open or modify the fixture unless you are qualified and authorized to service professional stage-lighting equipment.</w:t>
      </w:r>
    </w:p>
    <w:p>
      <w:pPr>
        <w:pStyle w:val="Heading1"/>
      </w:pPr>
      <w:r>
        <w:t>8  Troubleshooting and Service</w:t>
      </w:r>
    </w:p>
    <w:tbl>
      <w:tblPr>
        <w:tblStyle w:val="TableGrid"/>
        <w:tblW w:type="dxa" w:w="9650"/>
        <w:jc w:val="left"/>
        <w:tblLayout w:type="fixed"/>
        <w:tblLook w:firstColumn="1" w:firstRow="1" w:lastColumn="0" w:lastRow="0" w:noHBand="0" w:noVBand="1" w:val="04A0"/>
        <w:tblInd w:w="85" w:type="dxa"/>
      </w:tblPr>
      <w:tblGrid>
        <w:gridCol w:w="3150"/>
        <w:gridCol w:w="6500"/>
      </w:tblGrid>
      <w:tr>
        <w:trPr>
          <w:tblHeader w:val="true"/>
          <w:cantSplit/>
        </w:trPr>
        <w:tc>
          <w:tcPr>
            <w:tcW w:type="dxa" w:w="3150"/>
            <w:tcMar>
              <w:top w:w="18" w:type="dxa"/>
              <w:start w:w="85" w:type="dxa"/>
              <w:bottom w:w="18" w:type="dxa"/>
              <w:end w:w="85" w:type="dxa"/>
            </w:tcMar>
            <w:shd w:fill="1677A8"/>
            <w:vAlign w:val="center"/>
          </w:tcPr>
          <w:p>
            <w:pPr>
              <w:spacing w:before="0" w:after="0" w:line="240" w:lineRule="auto"/>
              <w:jc w:val="center"/>
            </w:pPr>
            <w:r/>
            <w:r>
              <w:rPr>
                <w:rFonts w:ascii="Aptos" w:hAnsi="Aptos"/>
                <w:b/>
                <w:color w:val="FFFFFF"/>
                <w:sz w:val="16"/>
              </w:rPr>
              <w:t>Symptom</w:t>
            </w:r>
          </w:p>
        </w:tc>
        <w:tc>
          <w:tcPr>
            <w:tcW w:type="dxa" w:w="6500"/>
            <w:tcMar>
              <w:top w:w="18" w:type="dxa"/>
              <w:start w:w="85" w:type="dxa"/>
              <w:bottom w:w="18" w:type="dxa"/>
              <w:end w:w="85" w:type="dxa"/>
            </w:tcMar>
            <w:shd w:fill="1677A8"/>
            <w:vAlign w:val="center"/>
          </w:tcPr>
          <w:p>
            <w:pPr>
              <w:spacing w:before="0" w:after="0" w:line="240" w:lineRule="auto"/>
              <w:jc w:val="left"/>
            </w:pPr>
            <w:r/>
            <w:r>
              <w:rPr>
                <w:rFonts w:ascii="Aptos" w:hAnsi="Aptos"/>
                <w:b/>
                <w:color w:val="FFFFFF"/>
                <w:sz w:val="16"/>
              </w:rPr>
              <w:t>Check</w:t>
            </w:r>
          </w:p>
        </w:tc>
      </w:tr>
      <w:tr>
        <w:trPr>
          <w:cantSplit/>
        </w:trPr>
        <w:tc>
          <w:tcPr>
            <w:tcW w:type="dxa" w:w="315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Fixture does not power on</w:t>
            </w:r>
          </w:p>
        </w:tc>
        <w:tc>
          <w:tcPr>
            <w:tcW w:type="dxa" w:w="650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Verify the product-label supply requirement, power connection, circuit protection and cable condition. Refer internal inspection to qualified service.</w:t>
            </w:r>
          </w:p>
        </w:tc>
      </w:tr>
      <w:tr>
        <w:trPr>
          <w:cantSplit/>
        </w:trPr>
        <w:tc>
          <w:tcPr>
            <w:tcW w:type="dxa" w:w="31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No light output</w:t>
            </w:r>
          </w:p>
        </w:tc>
        <w:tc>
          <w:tcPr>
            <w:tcW w:type="dxa" w:w="6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Check master dimmer, strobe/blackout, RGBW values, ECO setting, macro values, controller output and fixture temperature.</w:t>
            </w:r>
          </w:p>
        </w:tc>
      </w:tr>
      <w:tr>
        <w:trPr>
          <w:cantSplit/>
        </w:trPr>
        <w:tc>
          <w:tcPr>
            <w:tcW w:type="dxa" w:w="315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No DMX response</w:t>
            </w:r>
          </w:p>
        </w:tc>
        <w:tc>
          <w:tcPr>
            <w:tcW w:type="dxa" w:w="650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Confirm DMX mode, start address, 16CH/24CH personality, controller patch, 3-pin polarity, cable continuity and connector condition.</w:t>
            </w:r>
          </w:p>
        </w:tc>
      </w:tr>
      <w:tr>
        <w:trPr>
          <w:cantSplit/>
        </w:trPr>
        <w:tc>
          <w:tcPr>
            <w:tcW w:type="dxa" w:w="31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Intermittent or unstable DMX</w:t>
            </w:r>
          </w:p>
        </w:tc>
        <w:tc>
          <w:tcPr>
            <w:tcW w:type="dxa" w:w="6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Use shielded twisted-pair cable, inspect connectors, separate data from high-voltage cables and terminate the final fixture with 120 ohms.</w:t>
            </w:r>
          </w:p>
        </w:tc>
      </w:tr>
      <w:tr>
        <w:trPr>
          <w:cantSplit/>
        </w:trPr>
        <w:tc>
          <w:tcPr>
            <w:tcW w:type="dxa" w:w="315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Unexpected zone colors</w:t>
            </w:r>
          </w:p>
        </w:tc>
        <w:tc>
          <w:tcPr>
            <w:tcW w:type="dxa" w:w="650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Confirm the 24CH patch and identify the physical Zone 1-3 mapping with a low-intensity RGBW test scene.</w:t>
            </w:r>
          </w:p>
        </w:tc>
      </w:tr>
      <w:tr>
        <w:trPr>
          <w:cantSplit/>
        </w:trPr>
        <w:tc>
          <w:tcPr>
            <w:tcW w:type="dxa" w:w="31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Abnormal pan or tilt</w:t>
            </w:r>
          </w:p>
        </w:tc>
        <w:tc>
          <w:tcPr>
            <w:tcW w:type="dxa" w:w="6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Remove obstructions, check reverse/encoder settings, run a reset and refer mechanical or encoder faults to qualified service.</w:t>
            </w:r>
          </w:p>
        </w:tc>
      </w:tr>
      <w:tr>
        <w:trPr>
          <w:cantSplit/>
        </w:trPr>
        <w:tc>
          <w:tcPr>
            <w:tcW w:type="dxa" w:w="3150"/>
            <w:tcMar>
              <w:top w:w="18" w:type="dxa"/>
              <w:start w:w="85" w:type="dxa"/>
              <w:bottom w:w="18" w:type="dxa"/>
              <w:end w:w="85" w:type="dxa"/>
            </w:tcMar>
            <w:vAlign w:val="center"/>
          </w:tcPr>
          <w:p>
            <w:pPr>
              <w:spacing w:before="0" w:after="0" w:line="240" w:lineRule="auto"/>
              <w:jc w:val="center"/>
            </w:pPr>
            <w:r/>
            <w:r>
              <w:rPr>
                <w:rFonts w:ascii="Aptos" w:hAnsi="Aptos"/>
                <w:b w:val="0"/>
                <w:color w:val="153247"/>
                <w:sz w:val="15"/>
              </w:rPr>
              <w:t>Zoom does not respond</w:t>
            </w:r>
          </w:p>
        </w:tc>
        <w:tc>
          <w:tcPr>
            <w:tcW w:type="dxa" w:w="6500"/>
            <w:tcMar>
              <w:top w:w="18" w:type="dxa"/>
              <w:start w:w="85" w:type="dxa"/>
              <w:bottom w:w="18" w:type="dxa"/>
              <w:end w:w="85" w:type="dxa"/>
            </w:tcMar>
            <w:vAlign w:val="center"/>
          </w:tcPr>
          <w:p>
            <w:pPr>
              <w:spacing w:before="0" w:after="0" w:line="240" w:lineRule="auto"/>
              <w:jc w:val="left"/>
            </w:pPr>
            <w:r/>
            <w:r>
              <w:rPr>
                <w:rFonts w:ascii="Aptos" w:hAnsi="Aptos"/>
                <w:b w:val="0"/>
                <w:color w:val="153247"/>
                <w:sz w:val="15"/>
              </w:rPr>
              <w:t>Check Channel 12 in 16CH mode or Channel 6 in 24CH mode, reset the fixture and refer mechanism faults to qualified service.</w:t>
            </w:r>
          </w:p>
        </w:tc>
      </w:tr>
      <w:tr>
        <w:trPr>
          <w:cantSplit/>
        </w:trPr>
        <w:tc>
          <w:tcPr>
            <w:tcW w:type="dxa" w:w="3150"/>
            <w:tcMar>
              <w:top w:w="18" w:type="dxa"/>
              <w:start w:w="85" w:type="dxa"/>
              <w:bottom w:w="18" w:type="dxa"/>
              <w:end w:w="85" w:type="dxa"/>
            </w:tcMar>
            <w:shd w:fill="F3F7F9"/>
            <w:vAlign w:val="center"/>
          </w:tcPr>
          <w:p>
            <w:pPr>
              <w:spacing w:before="0" w:after="0" w:line="240" w:lineRule="auto"/>
              <w:jc w:val="center"/>
            </w:pPr>
            <w:r/>
            <w:r>
              <w:rPr>
                <w:rFonts w:ascii="Aptos" w:hAnsi="Aptos"/>
                <w:b w:val="0"/>
                <w:color w:val="153247"/>
                <w:sz w:val="15"/>
              </w:rPr>
              <w:t>Reduced or unstable output</w:t>
            </w:r>
          </w:p>
        </w:tc>
        <w:tc>
          <w:tcPr>
            <w:tcW w:type="dxa" w:w="6500"/>
            <w:tcMar>
              <w:top w:w="18" w:type="dxa"/>
              <w:start w:w="85" w:type="dxa"/>
              <w:bottom w:w="18" w:type="dxa"/>
              <w:end w:w="85" w:type="dxa"/>
            </w:tcMar>
            <w:shd w:fill="F3F7F9"/>
            <w:vAlign w:val="center"/>
          </w:tcPr>
          <w:p>
            <w:pPr>
              <w:spacing w:before="0" w:after="0" w:line="240" w:lineRule="auto"/>
              <w:jc w:val="left"/>
            </w:pPr>
            <w:r/>
            <w:r>
              <w:rPr>
                <w:rFonts w:ascii="Aptos" w:hAnsi="Aptos"/>
                <w:b w:val="0"/>
                <w:color w:val="153247"/>
                <w:sz w:val="15"/>
              </w:rPr>
              <w:t>Check ventilation, fan operation, optical cleanliness, ECO setting, mains quality and operating temperature.</w:t>
            </w:r>
          </w:p>
        </w:tc>
      </w:tr>
    </w:tbl>
    <w:p>
      <w:pPr>
        <w:spacing w:after="40"/>
      </w:pPr>
    </w:p>
    <w:p>
      <w:pPr>
        <w:spacing w:before="80" w:after="160" w:line="269" w:lineRule="auto"/>
        <w:ind w:left="173" w:right="173"/>
        <w:shd w:fill="FDECEC"/>
        <w:pBdr>
          <w:left w:val="single" w:sz="18" w:space="7" w:color="B42318"/>
        </w:pBdr>
      </w:pPr>
      <w:r>
        <w:rPr>
          <w:rFonts w:ascii="Aptos" w:hAnsi="Aptos"/>
          <w:b/>
          <w:color w:val="B42318"/>
          <w:sz w:val="18"/>
        </w:rPr>
        <w:t xml:space="preserve">SERVICE  </w:t>
      </w:r>
      <w:r>
        <w:rPr>
          <w:rFonts w:ascii="Aptos" w:hAnsi="Aptos"/>
          <w:color w:val="153247"/>
          <w:sz w:val="18"/>
        </w:rPr>
        <w:t>Disconnect the fixture and refer it to the manufacturer, its service agent or similarly qualified personnel if damage, liquid ingress, burning odor, smoke, abnormal heat or persistent mechanical/electrical faults are found.</w:t>
      </w:r>
    </w:p>
    <w:p>
      <w:pPr>
        <w:pStyle w:val="Heading2"/>
      </w:pPr>
      <w:r>
        <w:t>8.1 Support Information</w:t>
      </w:r>
    </w:p>
    <w:p>
      <w:pPr>
        <w:spacing w:before="0" w:after="100" w:line="283" w:lineRule="auto"/>
      </w:pPr>
      <w:r>
        <w:rPr>
          <w:rFonts w:ascii="Aptos" w:hAnsi="Aptos"/>
          <w:b w:val="0"/>
          <w:i w:val="0"/>
        </w:rPr>
        <w:t>When requesting support, provide the model, serial number, active channel personality, start address, firmware/menu version if available, supply conditions and a clear description of the fault. Include photographs or a short video when they help demonstrate the issue.</w:t>
      </w:r>
    </w:p>
    <w:p>
      <w:pPr>
        <w:spacing w:before="360" w:after="100" w:line="283" w:lineRule="auto"/>
        <w:jc w:val="center"/>
      </w:pPr>
      <w:r>
        <w:rPr>
          <w:rFonts w:ascii="Aptos" w:hAnsi="Aptos"/>
          <w:b/>
          <w:i w:val="0"/>
          <w:color w:val="5A6872"/>
          <w:sz w:val="18"/>
        </w:rPr>
        <w:t>End of manual</w:t>
      </w:r>
    </w:p>
    <w:sectPr w:rsidR="00FC693F" w:rsidRPr="0006063C" w:rsidSect="00034616">
      <w:headerReference w:type="default" r:id="rId61"/>
      <w:footerReference w:type="default" r:id="rId62"/>
      <w:pgSz w:w="12240" w:h="15840"/>
      <w:pgMar w:top="1181" w:right="1181" w:bottom="1181" w:left="1181"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7.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
      <w:rPr>
        <w:rFonts w:ascii="Aptos" w:hAnsi="Aptos"/>
        <w:color w:val="5A6872"/>
        <w:sz w:val="16"/>
      </w:rPr>
      <w:t xml:space="preserve">Page </w:t>
    </w:r>
    <w:fldSimple w:instr="PAGE"/>
  </w:p>
</w:ftr>
</file>

<file path=word/footer18.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ftr>
</file>

<file path=word/footer19.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
      <w:rPr>
        <w:rFonts w:ascii="Aptos" w:hAnsi="Aptos"/>
        <w:color w:val="5A6872"/>
        <w:sz w:val="16"/>
      </w:rPr>
      <w:t xml:space="preserve">Page </w:t>
    </w:r>
    <w:fldSimple w:instr="PAGE"/>
  </w:p>
</w:ftr>
</file>

<file path=word/footer20.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
      <w:rPr>
        <w:rFonts w:ascii="Aptos" w:hAnsi="Aptos"/>
        <w:color w:val="5A6872"/>
        <w:sz w:val="16"/>
      </w:rPr>
      <w:t xml:space="preserve">Page </w:t>
    </w:r>
    <w:fldSimple w:instr="PAGE"/>
  </w:p>
</w:ftr>
</file>

<file path=word/header17.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Aptos" w:hAnsi="Aptos"/>
        <w:b/>
        <w:color w:val="5A6872"/>
        <w:sz w:val="16"/>
      </w:rPr>
      <w:t>AL1019WZ - 19 x 15 W LED Moving Head Aura</w:t>
    </w:r>
  </w:p>
</w:hdr>
</file>

<file path=word/header18.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header19.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Aptos" w:hAnsi="Aptos"/>
        <w:b/>
        <w:color w:val="5A6872"/>
        <w:sz w:val="16"/>
      </w:rPr>
      <w:t>AL1019WZ - 19 x 15 W LED Moving Head Aura - Control and DMX Reference</w:t>
    </w:r>
  </w:p>
</w:hdr>
</file>

<file path=word/header20.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right"/>
    </w:pPr>
    <w:r>
      <w:rPr>
        <w:rFonts w:ascii="Aptos" w:hAnsi="Aptos"/>
        <w:b/>
        <w:color w:val="5A6872"/>
        <w:sz w:val="16"/>
      </w:rPr>
      <w:t>AL1019WZ - 19 x 15 W LED Moving Head Aura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83" w:lineRule="auto"/>
    </w:pPr>
    <w:rPr>
      <w:rFonts w:ascii="Aptos" w:hAnsi="Aptos"/>
      <w:color w:val="153247"/>
      <w:sz w:val="20"/>
      <w:lang w:val="en-US"/>
    </w:rPr>
  </w:style>
  <w:style w:type="paragraph" w:styleId="Header">
    <w:name w:val="header"/>
    <w:basedOn w:val="Normal"/>
    <w:link w:val="HeaderChar"/>
    <w:uiPriority w:val="99"/>
    <w:unhideWhenUsed/>
    <w:rsid w:val="00E618B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618BF"/>
    <w:rPr>
      <w:lang w:val="en-US"/>
    </w:rPr>
  </w:style>
  <w:style w:type="paragraph" w:styleId="Footer">
    <w:name w:val="footer"/>
    <w:basedOn w:val="Normal"/>
    <w:link w:val="FooterChar"/>
    <w:uiPriority w:val="99"/>
    <w:unhideWhenUsed/>
    <w:rsid w:val="00E618B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618BF"/>
    <w:rPr>
      <w:lang w:val="en-US"/>
    </w:rPr>
  </w:style>
  <w:style w:type="paragraph" w:styleId="Heading1">
    <w:name w:val="heading 1"/>
    <w:basedOn w:val="Normal"/>
    <w:next w:val="Normal"/>
    <w:link w:val="Heading1Char"/>
    <w:uiPriority w:val="9"/>
    <w:qFormat/>
    <w:rsid w:val="00FC693F"/>
    <w:pPr>
      <w:keepNext/>
      <w:keepLines/>
      <w:pageBreakBefore/>
      <w:spacing w:before="320" w:after="160"/>
      <w:outlineLvl w:val="0"/>
    </w:pPr>
    <w:rPr>
      <w:rFonts w:asciiTheme="majorHAnsi" w:eastAsiaTheme="majorEastAsia" w:hAnsiTheme="majorHAnsi" w:cstheme="majorBidi" w:ascii="Aptos Display" w:hAnsi="Aptos Display"/>
      <w:b/>
      <w:bCs/>
      <w:color w:val="153247"/>
      <w:sz w:val="38"/>
      <w:szCs w:val="28"/>
      <w:lang w:val="en-US"/>
    </w:rPr>
  </w:style>
  <w:style w:type="paragraph" w:styleId="Heading2">
    <w:name w:val="heading 2"/>
    <w:basedOn w:val="Normal"/>
    <w:next w:val="Normal"/>
    <w:link w:val="Heading2Char"/>
    <w:uiPriority w:val="9"/>
    <w:unhideWhenUsed/>
    <w:qFormat/>
    <w:rsid w:val="00FC693F"/>
    <w:pPr>
      <w:keepNext/>
      <w:keepLines/>
      <w:spacing w:before="220" w:after="100"/>
      <w:outlineLvl w:val="1"/>
    </w:pPr>
    <w:rPr>
      <w:rFonts w:asciiTheme="majorHAnsi" w:eastAsiaTheme="majorEastAsia" w:hAnsiTheme="majorHAnsi" w:cstheme="majorBidi" w:ascii="Aptos Display" w:hAnsi="Aptos Display"/>
      <w:b/>
      <w:bCs/>
      <w:color w:val="1677A8"/>
      <w:sz w:val="26"/>
      <w:szCs w:val="26"/>
      <w:lang w:val="en-US"/>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Aptos" w:hAnsi="Aptos"/>
      <w:b/>
      <w:bCs/>
      <w:color w:val="153247"/>
      <w:sz w:val="21"/>
      <w:lang w:val="en-U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lang w:val="en-US"/>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rPr>
      <w:lang w:val="en-US"/>
    </w:rPr>
  </w:style>
  <w:style w:type="table" w:default="1" w:styleId="TableNormal">
    <w:name w:val="Normal Table"/>
    <w:uiPriority w:val="99"/>
    <w:semiHidden/>
    <w:unhideWhenUsed/>
    <w:tblPr>
      <w:tblInd w:w="0" w:type="dxa"/>
      <w:tblCellMar>
        <w:top w:w="0" w:type="dxa"/>
        <w:left w:w="108" w:type="dxa"/>
        <w:bottom w:w="0" w:type="dxa"/>
        <w:right w:w="108" w:type="dxa"/>
      </w:tblCellMar>
    </w:tblPr>
    <w:rPr>
      <w:lang w:val="en-US"/>
    </w:rPr>
  </w:style>
  <w:style w:type="numbering" w:default="1" w:styleId="NoList">
    <w:name w:val="No List"/>
    <w:uiPriority w:val="99"/>
    <w:semiHidden/>
    <w:unhideWhenUsed/>
    <w:rPr>
      <w:lang w:val="en-US"/>
    </w:rPr>
  </w:style>
  <w:style w:type="paragraph" w:styleId="NoSpacing">
    <w:name w:val="No Spacing"/>
    <w:uiPriority w:val="1"/>
    <w:qFormat/>
    <w:rsid w:val="00FC693F"/>
    <w:pPr>
      <w:spacing w:after="0" w:line="240" w:lineRule="auto"/>
    </w:pPr>
    <w:rPr>
      <w:lang w:val="en-U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lang w:val="en-US"/>
    </w:rPr>
  </w:style>
  <w:style w:type="paragraph" w:styleId="Title">
    <w:name w:val="Title"/>
    <w:basedOn w:val="Normal"/>
    <w:next w:val="Normal"/>
    <w:link w:val="TitleChar"/>
    <w:uiPriority w:val="10"/>
    <w:qFormat/>
    <w:rsid w:val="00FC693F"/>
    <w:pPr>
      <w:keepNext/>
      <w:pBdr>
        <w:bottom w:val="single" w:sz="8" w:space="4" w:color="4F81BD" w:themeColor="accent1"/>
      </w:pBdr>
      <w:spacing w:after="240" w:line="240" w:lineRule="auto" w:before="0"/>
      <w:contextualSpacing/>
    </w:pPr>
    <w:rPr>
      <w:rFonts w:asciiTheme="majorHAnsi" w:eastAsiaTheme="majorEastAsia" w:hAnsiTheme="majorHAnsi" w:cstheme="majorBidi" w:ascii="Aptos Display" w:hAnsi="Aptos Display"/>
      <w:b/>
      <w:color w:val="153247"/>
      <w:spacing w:val="5"/>
      <w:kern w:val="28"/>
      <w:sz w:val="56"/>
      <w:szCs w:val="52"/>
      <w:lang w:val="en-U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w:hAnsi="Aptos"/>
      <w:b w:val="0"/>
      <w:i/>
      <w:iCs/>
      <w:color w:val="1677A8"/>
      <w:spacing w:val="15"/>
      <w:sz w:val="28"/>
      <w:szCs w:val="24"/>
      <w:lang w:val="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lang w:val="en-US"/>
    </w:rPr>
  </w:style>
  <w:style w:type="paragraph" w:styleId="ListParagraph">
    <w:name w:val="List Paragraph"/>
    <w:basedOn w:val="Normal"/>
    <w:uiPriority w:val="34"/>
    <w:qFormat/>
    <w:rsid w:val="00FC693F"/>
    <w:pPr>
      <w:ind w:left="720"/>
      <w:contextualSpacing/>
    </w:pPr>
    <w:rPr>
      <w:lang w:val="en-US"/>
    </w:rPr>
  </w:style>
  <w:style w:type="paragraph" w:styleId="BodyText">
    <w:name w:val="Body Text"/>
    <w:basedOn w:val="Normal"/>
    <w:link w:val="BodyTextChar"/>
    <w:uiPriority w:val="99"/>
    <w:unhideWhenUsed/>
    <w:rsid w:val="00AA1D8D"/>
    <w:pPr>
      <w:spacing w:after="120"/>
    </w:pPr>
    <w:rPr>
      <w:lang w:val="en-US"/>
    </w:rPr>
  </w:style>
  <w:style w:type="character" w:customStyle="1" w:styleId="BodyTextChar">
    <w:name w:val="Body Text Char"/>
    <w:basedOn w:val="DefaultParagraphFont"/>
    <w:link w:val="BodyText"/>
    <w:uiPriority w:val="99"/>
    <w:rsid w:val="00AA1D8D"/>
    <w:rPr>
      <w:lang w:val="en-US"/>
    </w:rPr>
  </w:style>
  <w:style w:type="paragraph" w:styleId="BodyText2">
    <w:name w:val="Body Text 2"/>
    <w:basedOn w:val="Normal"/>
    <w:link w:val="BodyText2Char"/>
    <w:uiPriority w:val="99"/>
    <w:unhideWhenUsed/>
    <w:rsid w:val="00AA1D8D"/>
    <w:pPr>
      <w:spacing w:after="120" w:line="480" w:lineRule="auto"/>
    </w:pPr>
    <w:rPr>
      <w:lang w:val="en-US"/>
    </w:rPr>
  </w:style>
  <w:style w:type="character" w:customStyle="1" w:styleId="BodyText2Char">
    <w:name w:val="Body Text 2 Char"/>
    <w:basedOn w:val="DefaultParagraphFont"/>
    <w:link w:val="BodyText2"/>
    <w:uiPriority w:val="99"/>
    <w:rsid w:val="00AA1D8D"/>
    <w:rPr>
      <w:lang w:val="en-US"/>
    </w:rPr>
  </w:style>
  <w:style w:type="paragraph" w:styleId="BodyText3">
    <w:name w:val="Body Text 3"/>
    <w:basedOn w:val="Normal"/>
    <w:link w:val="BodyText3Char"/>
    <w:uiPriority w:val="99"/>
    <w:unhideWhenUsed/>
    <w:rsid w:val="00AA1D8D"/>
    <w:pPr>
      <w:spacing w:after="120"/>
    </w:pPr>
    <w:rPr>
      <w:sz w:val="16"/>
      <w:szCs w:val="16"/>
      <w:lang w:val="en-US"/>
    </w:rPr>
  </w:style>
  <w:style w:type="character" w:customStyle="1" w:styleId="BodyText3Char">
    <w:name w:val="Body Text 3 Char"/>
    <w:basedOn w:val="DefaultParagraphFont"/>
    <w:link w:val="BodyText3"/>
    <w:uiPriority w:val="99"/>
    <w:rsid w:val="00AA1D8D"/>
    <w:rPr>
      <w:sz w:val="16"/>
      <w:szCs w:val="16"/>
      <w:lang w:val="en-US"/>
    </w:rPr>
  </w:style>
  <w:style w:type="paragraph" w:styleId="List">
    <w:name w:val="List"/>
    <w:basedOn w:val="Normal"/>
    <w:uiPriority w:val="99"/>
    <w:unhideWhenUsed/>
    <w:rsid w:val="00AA1D8D"/>
    <w:pPr>
      <w:ind w:left="360" w:hanging="360"/>
      <w:contextualSpacing/>
    </w:pPr>
    <w:rPr>
      <w:lang w:val="en-US"/>
    </w:rPr>
  </w:style>
  <w:style w:type="paragraph" w:styleId="List2">
    <w:name w:val="List 2"/>
    <w:basedOn w:val="Normal"/>
    <w:uiPriority w:val="99"/>
    <w:unhideWhenUsed/>
    <w:rsid w:val="00326F90"/>
    <w:pPr>
      <w:ind w:left="720" w:hanging="360"/>
      <w:contextualSpacing/>
    </w:pPr>
    <w:rPr>
      <w:lang w:val="en-US"/>
    </w:rPr>
  </w:style>
  <w:style w:type="paragraph" w:styleId="List3">
    <w:name w:val="List 3"/>
    <w:basedOn w:val="Normal"/>
    <w:uiPriority w:val="99"/>
    <w:unhideWhenUsed/>
    <w:rsid w:val="00326F90"/>
    <w:pPr>
      <w:ind w:left="1080" w:hanging="360"/>
      <w:contextualSpacing/>
    </w:pPr>
    <w:rPr>
      <w:lang w:val="en-US"/>
    </w:rPr>
  </w:style>
  <w:style w:type="paragraph" w:styleId="ListBullet">
    <w:name w:val="List Bullet"/>
    <w:basedOn w:val="Normal"/>
    <w:uiPriority w:val="99"/>
    <w:unhideWhenUsed/>
    <w:rsid w:val="00326F90"/>
    <w:pPr>
      <w:numPr>
        <w:numId w:val="1"/>
      </w:numPr>
      <w:spacing w:after="80" w:line="283" w:lineRule="auto"/>
      <w:ind w:left="490" w:hanging="259"/>
      <w:contextualSpacing/>
    </w:pPr>
    <w:rPr>
      <w:rFonts w:ascii="Aptos" w:hAnsi="Aptos"/>
      <w:sz w:val="20"/>
      <w:lang w:val="en-US"/>
    </w:rPr>
  </w:style>
  <w:style w:type="paragraph" w:styleId="ListBullet2">
    <w:name w:val="List Bullet 2"/>
    <w:basedOn w:val="Normal"/>
    <w:uiPriority w:val="99"/>
    <w:unhideWhenUsed/>
    <w:rsid w:val="00326F90"/>
    <w:pPr>
      <w:numPr>
        <w:numId w:val="2"/>
      </w:numPr>
      <w:contextualSpacing/>
    </w:pPr>
    <w:rPr>
      <w:lang w:val="en-US"/>
    </w:rPr>
  </w:style>
  <w:style w:type="paragraph" w:styleId="ListBullet3">
    <w:name w:val="List Bullet 3"/>
    <w:basedOn w:val="Normal"/>
    <w:uiPriority w:val="99"/>
    <w:unhideWhenUsed/>
    <w:rsid w:val="00326F90"/>
    <w:pPr>
      <w:numPr>
        <w:numId w:val="3"/>
      </w:numPr>
      <w:contextualSpacing/>
    </w:pPr>
    <w:rPr>
      <w:lang w:val="en-US"/>
    </w:rPr>
  </w:style>
  <w:style w:type="paragraph" w:styleId="ListNumber">
    <w:name w:val="List Number"/>
    <w:basedOn w:val="Normal"/>
    <w:uiPriority w:val="99"/>
    <w:unhideWhenUsed/>
    <w:rsid w:val="00326F90"/>
    <w:pPr>
      <w:numPr>
        <w:numId w:val="5"/>
      </w:numPr>
      <w:spacing w:after="80" w:line="283" w:lineRule="auto"/>
      <w:ind w:left="490" w:hanging="259"/>
      <w:contextualSpacing/>
    </w:pPr>
    <w:rPr>
      <w:rFonts w:ascii="Aptos" w:hAnsi="Aptos"/>
      <w:sz w:val="20"/>
      <w:lang w:val="en-US"/>
    </w:rPr>
  </w:style>
  <w:style w:type="paragraph" w:styleId="ListNumber2">
    <w:name w:val="List Number 2"/>
    <w:basedOn w:val="Normal"/>
    <w:uiPriority w:val="99"/>
    <w:unhideWhenUsed/>
    <w:rsid w:val="0029639D"/>
    <w:pPr>
      <w:numPr>
        <w:numId w:val="6"/>
      </w:numPr>
      <w:contextualSpacing/>
    </w:pPr>
    <w:rPr>
      <w:lang w:val="en-US"/>
    </w:rPr>
  </w:style>
  <w:style w:type="paragraph" w:styleId="ListNumber3">
    <w:name w:val="List Number 3"/>
    <w:basedOn w:val="Normal"/>
    <w:uiPriority w:val="99"/>
    <w:unhideWhenUsed/>
    <w:rsid w:val="0029639D"/>
    <w:pPr>
      <w:numPr>
        <w:numId w:val="7"/>
      </w:numPr>
      <w:contextualSpacing/>
    </w:pPr>
    <w:rPr>
      <w:lang w:val="en-US"/>
    </w:rPr>
  </w:style>
  <w:style w:type="paragraph" w:styleId="ListContinue">
    <w:name w:val="List Continue"/>
    <w:basedOn w:val="Normal"/>
    <w:uiPriority w:val="99"/>
    <w:unhideWhenUsed/>
    <w:rsid w:val="0029639D"/>
    <w:pPr>
      <w:spacing w:after="120"/>
      <w:ind w:left="360"/>
      <w:contextualSpacing/>
    </w:pPr>
    <w:rPr>
      <w:lang w:val="en-US"/>
    </w:rPr>
  </w:style>
  <w:style w:type="paragraph" w:styleId="ListContinue2">
    <w:name w:val="List Continue 2"/>
    <w:basedOn w:val="Normal"/>
    <w:uiPriority w:val="99"/>
    <w:unhideWhenUsed/>
    <w:rsid w:val="0029639D"/>
    <w:pPr>
      <w:spacing w:after="120"/>
      <w:ind w:left="720"/>
      <w:contextualSpacing/>
    </w:pPr>
    <w:rPr>
      <w:lang w:val="en-US"/>
    </w:rPr>
  </w:style>
  <w:style w:type="paragraph" w:styleId="ListContinue3">
    <w:name w:val="List Continue 3"/>
    <w:basedOn w:val="Normal"/>
    <w:uiPriority w:val="99"/>
    <w:unhideWhenUsed/>
    <w:rsid w:val="0029639D"/>
    <w:pPr>
      <w:spacing w:after="120"/>
      <w:ind w:left="1080"/>
      <w:contextualSpacing/>
    </w:pPr>
    <w:rPr>
      <w:lang w:val="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lang w:val="en-US"/>
    </w:rPr>
  </w:style>
  <w:style w:type="character" w:customStyle="1" w:styleId="MacroTextChar">
    <w:name w:val="Macro Text Char"/>
    <w:basedOn w:val="DefaultParagraphFont"/>
    <w:link w:val="MacroText"/>
    <w:uiPriority w:val="99"/>
    <w:rsid w:val="0029639D"/>
    <w:rPr>
      <w:rFonts w:ascii="Courier" w:hAnsi="Courier"/>
      <w:sz w:val="20"/>
      <w:szCs w:val="20"/>
      <w:lang w:val="en-US"/>
    </w:rPr>
  </w:style>
  <w:style w:type="paragraph" w:styleId="Quote">
    <w:name w:val="Quote"/>
    <w:basedOn w:val="Normal"/>
    <w:next w:val="Normal"/>
    <w:link w:val="QuoteChar"/>
    <w:uiPriority w:val="29"/>
    <w:qFormat/>
    <w:rsid w:val="00FC693F"/>
    <w:rPr>
      <w:i/>
      <w:iCs/>
      <w:color w:val="000000" w:themeColor="text1"/>
      <w:lang w:val="en-US"/>
    </w:rPr>
  </w:style>
  <w:style w:type="character" w:customStyle="1" w:styleId="QuoteChar">
    <w:name w:val="Quote Char"/>
    <w:basedOn w:val="DefaultParagraphFont"/>
    <w:link w:val="Quote"/>
    <w:uiPriority w:val="29"/>
    <w:rsid w:val="00FC693F"/>
    <w:rPr>
      <w:i/>
      <w:iCs/>
      <w:color w:val="000000" w:themeColor="text1"/>
      <w:lang w:val="en-US"/>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lang w:val="en-US"/>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lang w:val="en-US"/>
    </w:rPr>
  </w:style>
  <w:style w:type="character" w:styleId="Strong">
    <w:name w:val="Strong"/>
    <w:basedOn w:val="DefaultParagraphFont"/>
    <w:uiPriority w:val="22"/>
    <w:qFormat/>
    <w:rsid w:val="00FC693F"/>
    <w:rPr>
      <w:b/>
      <w:bCs/>
      <w:lang w:val="en-US"/>
    </w:rPr>
  </w:style>
  <w:style w:type="character" w:styleId="Emphasis">
    <w:name w:val="Emphasis"/>
    <w:basedOn w:val="DefaultParagraphFont"/>
    <w:uiPriority w:val="20"/>
    <w:qFormat/>
    <w:rsid w:val="00FC693F"/>
    <w:rPr>
      <w:i/>
      <w:iCs/>
      <w:lang w:val="en-U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FC693F"/>
    <w:rPr>
      <w:b/>
      <w:bCs/>
      <w:i/>
      <w:iCs/>
      <w:color w:val="4F81BD" w:themeColor="accent1"/>
      <w:lang w:val="en-US"/>
    </w:rPr>
  </w:style>
  <w:style w:type="character" w:styleId="SubtleEmphasis">
    <w:name w:val="Subtle Emphasis"/>
    <w:basedOn w:val="DefaultParagraphFont"/>
    <w:uiPriority w:val="19"/>
    <w:qFormat/>
    <w:rsid w:val="00FC693F"/>
    <w:rPr>
      <w:i/>
      <w:iCs/>
      <w:color w:val="808080" w:themeColor="text1" w:themeTint="7F"/>
      <w:lang w:val="en-US"/>
    </w:rPr>
  </w:style>
  <w:style w:type="character" w:styleId="IntenseEmphasis">
    <w:name w:val="Intense Emphasis"/>
    <w:basedOn w:val="DefaultParagraphFont"/>
    <w:uiPriority w:val="21"/>
    <w:qFormat/>
    <w:rsid w:val="00FC693F"/>
    <w:rPr>
      <w:b/>
      <w:bCs/>
      <w:i/>
      <w:iCs/>
      <w:color w:val="4F81BD" w:themeColor="accent1"/>
      <w:lang w:val="en-US"/>
    </w:rPr>
  </w:style>
  <w:style w:type="character" w:styleId="SubtleReference">
    <w:name w:val="Subtle Reference"/>
    <w:basedOn w:val="DefaultParagraphFont"/>
    <w:uiPriority w:val="31"/>
    <w:qFormat/>
    <w:rsid w:val="00FC693F"/>
    <w:rPr>
      <w:smallCaps/>
      <w:color w:val="C0504D" w:themeColor="accent2"/>
      <w:u w:val="single"/>
      <w:lang w:val="en-US"/>
    </w:rPr>
  </w:style>
  <w:style w:type="character" w:styleId="IntenseReference">
    <w:name w:val="Intense Reference"/>
    <w:basedOn w:val="DefaultParagraphFont"/>
    <w:uiPriority w:val="32"/>
    <w:qFormat/>
    <w:rsid w:val="00FC693F"/>
    <w:rPr>
      <w:b/>
      <w:bCs/>
      <w:smallCaps/>
      <w:color w:val="C0504D" w:themeColor="accent2"/>
      <w:spacing w:val="5"/>
      <w:u w:val="single"/>
      <w:lang w:val="en-US"/>
    </w:rPr>
  </w:style>
  <w:style w:type="character" w:styleId="BookTitle">
    <w:name w:val="Book Title"/>
    <w:basedOn w:val="DefaultParagraphFont"/>
    <w:uiPriority w:val="33"/>
    <w:qFormat/>
    <w:rsid w:val="00FC693F"/>
    <w:rPr>
      <w:b/>
      <w:bCs/>
      <w:smallCaps/>
      <w:spacing w:val="5"/>
      <w:lang w:val="en-US"/>
    </w:rPr>
  </w:style>
  <w:style w:type="paragraph" w:styleId="TOCHeading">
    <w:name w:val="TOC Heading"/>
    <w:basedOn w:val="Heading1"/>
    <w:next w:val="Normal"/>
    <w:uiPriority w:val="39"/>
    <w:semiHidden/>
    <w:unhideWhenUsed/>
    <w:qFormat/>
    <w:rsid w:val="00FC693F"/>
    <w:pPr>
      <w:outlineLvl w:val="9"/>
    </w:pPr>
    <w:rPr>
      <w:lang w:val="en-US"/>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rPr>
      <w:lang w:val="en-US"/>
    </w:rPr>
  </w:style>
  <w:style w:type="table" w:styleId="LightShading">
    <w:name w:val="Light Shading"/>
    <w:basedOn w:val="TableNormal"/>
    <w:uiPriority w:val="60"/>
    <w:rsid w:val="00FC693F"/>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rPr>
      <w:lang w:val="en-US"/>
    </w:r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rPr>
      <w:lang w:val="en-US"/>
    </w:r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rPr>
      <w:lang w:val="en-US"/>
    </w:r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rPr>
      <w:lang w:val="en-US"/>
    </w:r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rPr>
      <w:lang w:val="en-US"/>
    </w:r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rPr>
      <w:lang w:val="en-US"/>
    </w:r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rPr>
      <w:lang w:val="en-US"/>
    </w:r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rPr>
      <w:lang w:val="en-US"/>
    </w:r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rPr>
      <w:lang w:val="en-US"/>
    </w:r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rPr>
      <w:lang w:val="en-US"/>
    </w:r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rPr>
      <w:lang w:val="en-US"/>
    </w:r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rPr>
      <w:lang w:val="en-US"/>
    </w:r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rPr>
      <w:lang w:val="en-US"/>
    </w:r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rPr>
      <w:lang w:val="en-US"/>
    </w:r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rPr>
      <w:lang w:val="en-US"/>
    </w:r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rPr>
      <w:lang w:val="en-US"/>
    </w:r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rPr>
      <w:lang w:val="en-US"/>
    </w:r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rPr>
      <w:lang w:val="en-US"/>
    </w:r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rPr>
      <w:lang w:val="en-US"/>
    </w:r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rPr>
      <w:lang w:val="en-US"/>
    </w:r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rPr>
      <w:lang w:val="en-US"/>
    </w:r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rPr>
      <w:lang w:val="en-US"/>
    </w:r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rPr>
      <w:lang w:val="en-US"/>
    </w:r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rPr>
      <w:lang w:val="en-US"/>
    </w:r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rPr>
      <w:lang w:val="en-US"/>
    </w:r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rPr>
      <w:lang w:val="en-US"/>
    </w:r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rPr>
      <w:lang w:val="en-US"/>
    </w:r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rPr>
      <w:lang w:val="en-US"/>
    </w:rPr>
  </w:style>
  <w:style w:type="table" w:styleId="MediumList1">
    <w:name w:val="Medium List 1"/>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rPr>
      <w:lang w:val="en-US"/>
    </w:r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rPr>
      <w:lang w:val="en-US"/>
    </w:r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rPr>
      <w:lang w:val="en-US"/>
    </w:r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rPr>
      <w:lang w:val="en-US"/>
    </w:r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rPr>
      <w:lang w:val="en-US"/>
    </w:r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rPr>
      <w:lang w:val="en-US"/>
    </w:r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rPr>
      <w:lang w:val="en-US"/>
    </w:r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rPr>
      <w:lang w:val="en-US"/>
    </w:r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rPr>
      <w:lang w:val="en-US"/>
    </w:r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rPr>
      <w:lang w:val="en-US"/>
    </w:r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rPr>
      <w:lang w:val="en-US"/>
    </w:r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rPr>
      <w:lang w:val="en-US"/>
    </w:r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rPr>
      <w:lang w:val="en-US"/>
    </w:r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rPr>
      <w:lang w:val="en-US"/>
    </w:rPr>
  </w:style>
  <w:style w:type="table" w:styleId="DarkList">
    <w:name w:val="Dark List"/>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nualBullet">
    <w:name w:val="Manual Bullet"/>
    <w:basedOn w:val="Normal"/>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54" Type="http://schemas.openxmlformats.org/officeDocument/2006/relationships/header" Target="header17.xml" /><Relationship Id="rId55" Type="http://schemas.openxmlformats.org/officeDocument/2006/relationships/footer" Target="footer17.xml" /><Relationship Id="rId56" Type="http://schemas.openxmlformats.org/officeDocument/2006/relationships/header" Target="header18.xml" /><Relationship Id="rId57" Type="http://schemas.openxmlformats.org/officeDocument/2006/relationships/footer" Target="footer18.xml" /><Relationship Id="rId58" Type="http://schemas.openxmlformats.org/officeDocument/2006/relationships/image" Target="media/image14.jpg" /><Relationship Id="rId59" Type="http://schemas.openxmlformats.org/officeDocument/2006/relationships/header" Target="header19.xml" /><Relationship Id="rId60" Type="http://schemas.openxmlformats.org/officeDocument/2006/relationships/footer" Target="footer19.xml" /><Relationship Id="rId61" Type="http://schemas.openxmlformats.org/officeDocument/2006/relationships/header" Target="header20.xml" /><Relationship Id="rId62" Type="http://schemas.openxmlformats.org/officeDocument/2006/relationships/footer" Target="footer20.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AL1019WZ 19 x 15 W LED Moving Head Aura User Manual</dc:title>
  <dc:subject>English safety, installation, menu, DMX and photometric reference manual</dc:subject>
  <dc:creator/>
  <cp:keywords>AL1019WZ, 19 x 15 W, RGBW, LED moving head Aura, zoom, DMX512, 16CH, 24CH</cp:keywords>
  <dc:description>generated by python-docx</dc:description>
  <cp:lastModifiedBy/>
  <cp:revision>1</cp:revision>
  <dcterms:created xsi:type="dcterms:W3CDTF">2013-12-23T23:15:00Z</dcterms:created>
  <dcterms:modified xsi:type="dcterms:W3CDTF">2013-12-23T23:15:00Z</dcterms:modified>
  <cp:category/>
</cp:coreProperties>
</file>