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60" w:line="283" w:lineRule="auto"/>
      </w:pPr>
      <w:r>
        <w:rPr>
          <w:rFonts w:ascii="Aptos" w:hAnsi="Aptos"/>
          <w:b/>
          <w:i w:val="0"/>
          <w:color w:val="1677A8"/>
          <w:sz w:val="24"/>
        </w:rPr>
        <w:t>AL1036WZ</w:t>
      </w:r>
    </w:p>
    <w:p>
      <w:pPr>
        <w:pStyle w:val="Title"/>
      </w:pPr>
      <w:r>
        <w:t>36 x 12 W LED Wash</w:t>
        <w:br/>
        <w:t>Moving Head</w:t>
      </w:r>
    </w:p>
    <w:p>
      <w:pPr>
        <w:pStyle w:val="Subtitle"/>
      </w:pPr>
      <w:r>
        <w:t>RGBW ZOOM - USER MANUAL</w:t>
      </w:r>
    </w:p>
    <w:p>
      <w:pPr>
        <w:spacing w:before="0" w:after="120" w:line="283" w:lineRule="auto"/>
      </w:pPr>
      <w:r>
        <w:rPr>
          <w:rFonts w:ascii="Aptos" w:hAnsi="Aptos"/>
          <w:b w:val="0"/>
          <w:i w:val="0"/>
          <w:color w:val="5A6872"/>
          <w:sz w:val="21"/>
        </w:rPr>
        <w:t>Professional indoor LED wash moving-head fixture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251960" cy="4240063"/>
            <wp:docPr id="1" name="Picture 1" title="AL1036WZ fixture" descr="Front product photograph of the AL1036WZ 36 x 12 W LED wash moving head with blue outpu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L1036WZ (8)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240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80" w:after="160" w:line="269" w:lineRule="auto"/>
        <w:ind w:left="173" w:right="173"/>
        <w:shd w:fill="FDECEC"/>
        <w:pBdr>
          <w:left w:val="single" w:sz="18" w:space="7" w:color="B42318"/>
        </w:pBdr>
      </w:pPr>
      <w:r>
        <w:rPr>
          <w:rFonts w:ascii="Aptos" w:hAnsi="Aptos"/>
          <w:b/>
          <w:color w:val="B42318"/>
          <w:sz w:val="18"/>
        </w:rPr>
        <w:t xml:space="preserve">READ BEFORE USE  </w:t>
      </w:r>
      <w:r>
        <w:rPr>
          <w:rFonts w:ascii="Aptos" w:hAnsi="Aptos"/>
          <w:color w:val="153247"/>
          <w:sz w:val="18"/>
        </w:rPr>
        <w:t>Keep this manual with the fixture. Installation, operation and service must be performed by qualified personnel.</w:t>
      </w:r>
    </w:p>
    <w:p>
      <w:pPr>
        <w:spacing w:before="60" w:after="100" w:line="283" w:lineRule="auto"/>
        <w:jc w:val="center"/>
      </w:pPr>
      <w:r>
        <w:rPr>
          <w:rFonts w:ascii="Aptos" w:hAnsi="Aptos"/>
          <w:b w:val="0"/>
          <w:i w:val="0"/>
          <w:color w:val="5A6872"/>
          <w:sz w:val="16"/>
        </w:rPr>
        <w:t>English Edition - Specifications subject to change without notice</w:t>
      </w:r>
    </w:p>
    <w:p>
      <w:pPr>
        <w:pStyle w:val="Heading1"/>
      </w:pPr>
      <w:r>
        <w:t>Contents</w:t>
      </w:r>
    </w:p>
    <w:tbl>
      <w:tblPr>
        <w:tblStyle w:val="TableGrid"/>
        <w:tblW w:type="dxa" w:w="9650"/>
        <w:jc w:val="left"/>
        <w:tblLayout w:type="fixed"/>
        <w:tblLook w:firstColumn="1" w:firstRow="1" w:lastColumn="0" w:lastRow="0" w:noHBand="0" w:noVBand="1" w:val="04A0"/>
        <w:tblInd w:w="100" w:type="dxa"/>
      </w:tblPr>
      <w:tblGrid>
        <w:gridCol w:w="1300"/>
        <w:gridCol w:w="8350"/>
      </w:tblGrid>
      <w:tr>
        <w:trPr>
          <w:tblHeader w:val="true"/>
        </w:trP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8"/>
              </w:rPr>
              <w:t>Section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8"/>
              </w:rPr>
              <w:t>Topic</w:t>
            </w:r>
          </w:p>
        </w:tc>
      </w:tr>
      <w:t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1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Safety Information</w:t>
            </w:r>
          </w:p>
        </w:tc>
      </w:tr>
      <w:t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2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Product Overview</w:t>
            </w:r>
          </w:p>
        </w:tc>
      </w:tr>
      <w:t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3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Installation, DMX and Menu</w:t>
            </w:r>
          </w:p>
        </w:tc>
      </w:tr>
      <w:t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4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DMX Channel Reference</w:t>
            </w:r>
          </w:p>
        </w:tc>
      </w:tr>
      <w:t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5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Routine Maintenance</w:t>
            </w:r>
          </w:p>
        </w:tc>
      </w:tr>
      <w:tr>
        <w:tc>
          <w:tcPr>
            <w:tcW w:type="dxa" w:w="13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6</w:t>
            </w:r>
          </w:p>
        </w:tc>
        <w:tc>
          <w:tcPr>
            <w:tcW w:type="dxa" w:w="83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8"/>
              </w:rPr>
              <w:t>Troubleshooting and Service</w:t>
            </w:r>
          </w:p>
        </w:tc>
      </w:tr>
    </w:tbl>
    <w:p>
      <w:pPr>
        <w:spacing w:after="40"/>
      </w:pP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MODEL AND FIRMWARE  </w:t>
      </w:r>
      <w:r>
        <w:rPr>
          <w:rFonts w:ascii="Aptos" w:hAnsi="Aptos"/>
          <w:color w:val="153247"/>
          <w:sz w:val="18"/>
        </w:rPr>
        <w:t>This manual is organized for AL1036WZ. Confirm the model, supply rating and channel mode shown on the actual fixture before use.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archived AL1036WZ manual and the user-supplied PDF describe different firmware profiles. This edition preserves both complete channel charts and identifies their sources clearly.</w:t>
      </w:r>
    </w:p>
    <w:p>
      <w:pPr>
        <w:pStyle w:val="Heading1"/>
      </w:pPr>
      <w:r>
        <w:t>1  Safety Information</w:t>
      </w:r>
    </w:p>
    <w:p>
      <w:pPr>
        <w:spacing w:before="80" w:after="160" w:line="269" w:lineRule="auto"/>
        <w:ind w:left="173" w:right="173"/>
        <w:shd w:fill="FDECEC"/>
        <w:pBdr>
          <w:left w:val="single" w:sz="18" w:space="7" w:color="B42318"/>
        </w:pBdr>
      </w:pPr>
      <w:r>
        <w:rPr>
          <w:rFonts w:ascii="Aptos" w:hAnsi="Aptos"/>
          <w:b/>
          <w:color w:val="B42318"/>
          <w:sz w:val="18"/>
        </w:rPr>
        <w:t xml:space="preserve">DANGER  </w:t>
      </w:r>
      <w:r>
        <w:rPr>
          <w:rFonts w:ascii="Aptos" w:hAnsi="Aptos"/>
          <w:color w:val="153247"/>
          <w:sz w:val="18"/>
        </w:rPr>
        <w:t>Disconnect AC power and allow the fixture to cool completely before opening the housing, cleaning, inspection or service.</w:t>
      </w:r>
    </w:p>
    <w:p>
      <w:pPr>
        <w:pStyle w:val="ListBullet"/>
      </w:pPr>
      <w:r>
        <w:t>Use indoors in dry locations only. The fixture is rated IP20 and is not protected against rain or water jets.</w:t>
      </w:r>
    </w:p>
    <w:p>
      <w:pPr>
        <w:pStyle w:val="ListBullet"/>
      </w:pPr>
      <w:r>
        <w:t>Connect only to the supply range marked on the product label and to a properly grounded Protection Class I circuit.</w:t>
      </w:r>
    </w:p>
    <w:p>
      <w:pPr>
        <w:pStyle w:val="ListBullet"/>
      </w:pPr>
      <w:r>
        <w:t>Protect power and DMX cables from heat, sharp edges, crushing, heavy traffic and damaged insulation.</w:t>
      </w:r>
    </w:p>
    <w:p>
      <w:pPr>
        <w:pStyle w:val="ListBullet"/>
      </w:pPr>
      <w:r>
        <w:t>Keep ventilation openings clear and maintain free airflow around the base and head.</w:t>
      </w:r>
    </w:p>
    <w:p>
      <w:pPr>
        <w:pStyle w:val="ListBullet"/>
      </w:pPr>
      <w:r>
        <w:t>Do not look directly into the light output at close range. The LED array can produce intense visible light and rapid strobe effects.</w:t>
      </w:r>
    </w:p>
    <w:p>
      <w:pPr>
        <w:pStyle w:val="ListBullet"/>
      </w:pPr>
      <w:r>
        <w:t>Do not carry the fixture by the moving head. Lift it by the base or designated handles.</w:t>
      </w:r>
    </w:p>
    <w:p>
      <w:pPr>
        <w:pStyle w:val="ListBullet"/>
      </w:pPr>
      <w:r>
        <w:t>For suspended installation, use correctly rated clamps and an independent safety cable attached to the designated safety point.</w:t>
      </w:r>
    </w:p>
    <w:p>
      <w:pPr>
        <w:pStyle w:val="ListBullet"/>
      </w:pPr>
      <w:r>
        <w:t>Do not modify the fixture. Internal repair, adjustment and calibration must be performed by qualified personnel.</w:t>
      </w: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CONDENSATION  </w:t>
      </w:r>
      <w:r>
        <w:rPr>
          <w:rFonts w:ascii="Aptos" w:hAnsi="Aptos"/>
          <w:color w:val="153247"/>
          <w:sz w:val="18"/>
        </w:rPr>
        <w:t>After transport or a severe temperature change, leave the fixture disconnected until it reaches room temperature and all condensation has evaporated.</w:t>
      </w:r>
    </w:p>
    <w:p>
      <w:pPr>
        <w:spacing w:before="80" w:after="160" w:line="269" w:lineRule="auto"/>
        <w:ind w:left="173" w:right="173"/>
        <w:shd w:fill="FDECEC"/>
        <w:pBdr>
          <w:left w:val="single" w:sz="18" w:space="7" w:color="B42318"/>
        </w:pBdr>
      </w:pPr>
      <w:r>
        <w:rPr>
          <w:rFonts w:ascii="Aptos" w:hAnsi="Aptos"/>
          <w:b/>
          <w:color w:val="B42318"/>
          <w:sz w:val="18"/>
        </w:rPr>
        <w:t xml:space="preserve">MINIMUM CLEARANCE  </w:t>
      </w:r>
      <w:r>
        <w:rPr>
          <w:rFonts w:ascii="Aptos" w:hAnsi="Aptos"/>
          <w:color w:val="153247"/>
          <w:sz w:val="18"/>
        </w:rPr>
        <w:t>Keep the light output away from combustible materials and maintain the clearances required by the fixture label, venue rules and local regulations.</w:t>
      </w:r>
    </w:p>
    <w:p>
      <w:pPr>
        <w:pStyle w:val="Heading1"/>
      </w:pPr>
      <w:r>
        <w:t>2  Product Overview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AL1036WZ is an indoor RGBW LED wash moving head with 36 four-color emitters, motorized zoom, smooth dimming and automated movement. It supports DMX512 control together with stand-alone automatic and sound-active operation.</w:t>
      </w:r>
    </w:p>
    <w:p>
      <w:pPr>
        <w:pStyle w:val="Heading2"/>
      </w:pPr>
      <w:r>
        <w:t>2.1 Technical Specifications</w:t>
      </w:r>
    </w:p>
    <w:tbl>
      <w:tblPr>
        <w:tblStyle w:val="TableGrid"/>
        <w:tblW w:type="dxa" w:w="9650"/>
        <w:jc w:val="left"/>
        <w:tblLayout w:type="fixed"/>
        <w:tblLook w:firstColumn="1" w:firstRow="1" w:lastColumn="0" w:lastRow="0" w:noHBand="0" w:noVBand="1" w:val="04A0"/>
        <w:tblInd w:w="85" w:type="dxa"/>
      </w:tblPr>
      <w:tblGrid>
        <w:gridCol w:w="3000"/>
        <w:gridCol w:w="6650"/>
      </w:tblGrid>
      <w:tr>
        <w:trPr>
          <w:tblHeader w:val="true"/>
        </w:trP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Parameter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Specification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Model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AL1036WZ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Product type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36 x 12 W LED Wash Moving Head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Input voltage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AC 90-240 V, 50/60 Hz - verify the fixture label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Rated input power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400 W in the archived AL1036WZ product manual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Light source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36 x 12 W high-brightness RGBW 4-in-1 LEDs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Color system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RGBW additive color mixing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Zoom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Motorized focus/zoom, DMX controlled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Pan / tilt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Pan 540 degrees; tilt 270 degrees; fine control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Dimming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0-100% continuous linear dimming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Strobe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1-25 Hz in the archived 14CH profile; firmware may vary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Control modes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DMX512 / Master-Slave / Auto / Sound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Documented DMX profiles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14CH archived profile / 15CH supplied-PDF profile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Display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LCD control display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Application / protection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Indoor use / IP20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Listed dimensions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425 x 295 x 390 mm</w:t>
            </w:r>
          </w:p>
        </w:tc>
      </w:tr>
      <w:tr>
        <w:tc>
          <w:tcPr>
            <w:tcW w:type="dxa" w:w="3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Listed net weight</w:t>
            </w:r>
          </w:p>
        </w:tc>
        <w:tc>
          <w:tcPr>
            <w:tcW w:type="dxa" w:w="66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10 kg</w:t>
            </w:r>
          </w:p>
        </w:tc>
      </w:tr>
    </w:tbl>
    <w:p>
      <w:pPr>
        <w:spacing w:after="40"/>
      </w:pP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SOURCE NORMALIZATION  </w:t>
      </w:r>
      <w:r>
        <w:rPr>
          <w:rFonts w:ascii="Aptos" w:hAnsi="Aptos"/>
          <w:color w:val="153247"/>
          <w:sz w:val="18"/>
        </w:rPr>
        <w:t>The user-supplied PDF contains legacy discharge-lamp wording and lists 450 W / 15CH, while archived AL1036WZ product material lists 400 W / 14CH. This edition corrects all lamp references to LED and includes both documented channel charts. The fixture label and installed firmware take priority.</w:t>
      </w:r>
    </w:p>
    <w:p>
      <w:pPr>
        <w:pStyle w:val="Heading2"/>
      </w:pPr>
      <w:r>
        <w:t>2.2 Package Contents</w:t>
      </w:r>
    </w:p>
    <w:tbl>
      <w:tblPr>
        <w:tblStyle w:val="TableGrid"/>
        <w:tblW w:type="dxa" w:w="9650"/>
        <w:jc w:val="left"/>
        <w:tblLayout w:type="fixed"/>
        <w:tblLook w:firstColumn="1" w:firstRow="1" w:lastColumn="0" w:lastRow="0" w:noHBand="0" w:noVBand="1" w:val="04A0"/>
        <w:tblInd w:w="100" w:type="dxa"/>
      </w:tblPr>
      <w:tblGrid>
        <w:gridCol w:w="7600"/>
        <w:gridCol w:w="2050"/>
      </w:tblGrid>
      <w:tr>
        <w:trPr>
          <w:tblHeader w:val="true"/>
        </w:trPr>
        <w:tc>
          <w:tcPr>
            <w:tcW w:type="dxa" w:w="760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8"/>
              </w:rPr>
              <w:t>Item</w:t>
            </w:r>
          </w:p>
        </w:tc>
        <w:tc>
          <w:tcPr>
            <w:tcW w:type="dxa" w:w="205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8"/>
              </w:rPr>
              <w:t>Quantity</w:t>
            </w:r>
          </w:p>
        </w:tc>
      </w:tr>
      <w:tr>
        <w:tc>
          <w:tcPr>
            <w:tcW w:type="dxa" w:w="76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AL1036WZ fixture</w:t>
            </w:r>
          </w:p>
        </w:tc>
        <w:tc>
          <w:tcPr>
            <w:tcW w:type="dxa" w:w="20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1</w:t>
            </w:r>
          </w:p>
        </w:tc>
      </w:tr>
      <w:tr>
        <w:tc>
          <w:tcPr>
            <w:tcW w:type="dxa" w:w="76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Hanging bracket</w:t>
            </w:r>
          </w:p>
        </w:tc>
        <w:tc>
          <w:tcPr>
            <w:tcW w:type="dxa" w:w="20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1</w:t>
            </w:r>
          </w:p>
        </w:tc>
      </w:tr>
      <w:tr>
        <w:tc>
          <w:tcPr>
            <w:tcW w:type="dxa" w:w="76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Power cable</w:t>
            </w:r>
          </w:p>
        </w:tc>
        <w:tc>
          <w:tcPr>
            <w:tcW w:type="dxa" w:w="20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1</w:t>
            </w:r>
          </w:p>
        </w:tc>
      </w:tr>
      <w:tr>
        <w:tc>
          <w:tcPr>
            <w:tcW w:type="dxa" w:w="76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3-pin DMX signal cable</w:t>
            </w:r>
          </w:p>
        </w:tc>
        <w:tc>
          <w:tcPr>
            <w:tcW w:type="dxa" w:w="20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1</w:t>
            </w:r>
          </w:p>
        </w:tc>
      </w:tr>
      <w:tr>
        <w:tc>
          <w:tcPr>
            <w:tcW w:type="dxa" w:w="76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User manual</w:t>
            </w:r>
          </w:p>
        </w:tc>
        <w:tc>
          <w:tcPr>
            <w:tcW w:type="dxa" w:w="20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1</w:t>
            </w:r>
          </w:p>
        </w:tc>
      </w:tr>
    </w:tbl>
    <w:p>
      <w:pPr>
        <w:spacing w:after="40"/>
      </w:pPr>
    </w:p>
    <w:p>
      <w:pPr>
        <w:pStyle w:val="Heading2"/>
      </w:pPr>
      <w:r>
        <w:t>2.3 Main Functions</w:t>
      </w:r>
    </w:p>
    <w:p>
      <w:pPr>
        <w:pStyle w:val="ListBullet"/>
      </w:pPr>
      <w:r>
        <w:t>RGBW color mixing with smooth 0-100% master dimming.</w:t>
      </w:r>
    </w:p>
    <w:p>
      <w:pPr>
        <w:pStyle w:val="ListBullet"/>
      </w:pPr>
      <w:r>
        <w:t>Motorized zoom/focus for wash coverage adjustment.</w:t>
      </w:r>
    </w:p>
    <w:p>
      <w:pPr>
        <w:pStyle w:val="ListBullet"/>
      </w:pPr>
      <w:r>
        <w:t>540-degree pan and 270-degree tilt with fine-position channels.</w:t>
      </w:r>
    </w:p>
    <w:p>
      <w:pPr>
        <w:pStyle w:val="ListBullet"/>
      </w:pPr>
      <w:r>
        <w:t>Electronic strobe and built-in automatic and sound-active operation.</w:t>
      </w:r>
    </w:p>
    <w:p>
      <w:pPr>
        <w:pStyle w:val="ListBullet"/>
      </w:pPr>
      <w:r>
        <w:t>Pan/tilt inversion, position calibration and RGBW balance settings.</w:t>
      </w:r>
    </w:p>
    <w:p>
      <w:pPr>
        <w:pStyle w:val="ListBullet"/>
      </w:pPr>
      <w:r>
        <w:t>Fan-assisted cooling with thermal protection.</w:t>
      </w:r>
    </w:p>
    <w:p>
      <w:pPr>
        <w:pStyle w:val="Heading1"/>
      </w:pPr>
      <w:r>
        <w:t>3  Installation, DMX and Menu</w:t>
      </w:r>
    </w:p>
    <w:p>
      <w:pPr>
        <w:pStyle w:val="Heading2"/>
      </w:pPr>
      <w:r>
        <w:t>3.1 Rigging and Placement</w:t>
      </w:r>
    </w:p>
    <w:p>
      <w:pPr>
        <w:pStyle w:val="ListBullet"/>
      </w:pPr>
      <w:r>
        <w:t>Place the fixture on a stable, level surface or suspend it from a structure rated for the fixture and all applied loads.</w:t>
      </w:r>
    </w:p>
    <w:p>
      <w:pPr>
        <w:pStyle w:val="ListBullet"/>
      </w:pPr>
      <w:r>
        <w:t>Use correctly rated clamps and fasteners. Fully tighten all hardware before connecting power.</w:t>
      </w:r>
    </w:p>
    <w:p>
      <w:pPr>
        <w:pStyle w:val="ListBullet"/>
      </w:pPr>
      <w:r>
        <w:t>Attach an independent safety cable to the designated base safety point. Never attach the safety cable to a carrying handle.</w:t>
      </w:r>
    </w:p>
    <w:p>
      <w:pPr>
        <w:pStyle w:val="ListBullet"/>
      </w:pPr>
      <w:r>
        <w:t>Keep the fixture outside normal walking and seating areas and beyond unauthorized reach.</w:t>
      </w:r>
    </w:p>
    <w:p>
      <w:pPr>
        <w:pStyle w:val="ListBullet"/>
      </w:pPr>
      <w:r>
        <w:t>Inspect clamps, fasteners, the bracket, the safety cable and the supporting structure before every use.</w:t>
      </w:r>
    </w:p>
    <w:p>
      <w:pPr>
        <w:pStyle w:val="Heading2"/>
      </w:pPr>
      <w:r>
        <w:t>3.2 DMX512 Data Connection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shielded twisted-pair DMX cable. Connect the controller output to the fixture DMX input, then link each fixture output to the next fixture input.</w:t>
      </w:r>
    </w:p>
    <w:tbl>
      <w:tblPr>
        <w:tblStyle w:val="TableGrid"/>
        <w:tblW w:type="dxa" w:w="9650"/>
        <w:jc w:val="left"/>
        <w:tblLayout w:type="fixed"/>
        <w:tblLook w:firstColumn="1" w:firstRow="1" w:lastColumn="0" w:lastRow="0" w:noHBand="0" w:noVBand="1" w:val="04A0"/>
        <w:tblInd w:w="100" w:type="dxa"/>
      </w:tblPr>
      <w:tblGrid>
        <w:gridCol w:w="3000"/>
        <w:gridCol w:w="6650"/>
      </w:tblGrid>
      <w:tr>
        <w:trPr>
          <w:tblHeader w:val="true"/>
        </w:trPr>
        <w:tc>
          <w:tcPr>
            <w:tcW w:type="dxa" w:w="300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8"/>
              </w:rPr>
              <w:t>3-pin XLR</w:t>
            </w:r>
          </w:p>
        </w:tc>
        <w:tc>
          <w:tcPr>
            <w:tcW w:type="dxa" w:w="665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8"/>
              </w:rPr>
              <w:t>Signal</w:t>
            </w:r>
          </w:p>
        </w:tc>
      </w:tr>
      <w:tr>
        <w:tc>
          <w:tcPr>
            <w:tcW w:type="dxa" w:w="30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Pin 1</w:t>
            </w:r>
          </w:p>
        </w:tc>
        <w:tc>
          <w:tcPr>
            <w:tcW w:type="dxa" w:w="66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Ground / shield</w:t>
            </w:r>
          </w:p>
        </w:tc>
      </w:tr>
      <w:tr>
        <w:tc>
          <w:tcPr>
            <w:tcW w:type="dxa" w:w="30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Pin 2</w:t>
            </w:r>
          </w:p>
        </w:tc>
        <w:tc>
          <w:tcPr>
            <w:tcW w:type="dxa" w:w="66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Data -</w:t>
            </w:r>
          </w:p>
        </w:tc>
      </w:tr>
      <w:tr>
        <w:tc>
          <w:tcPr>
            <w:tcW w:type="dxa" w:w="30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Pin 3</w:t>
            </w:r>
          </w:p>
        </w:tc>
        <w:tc>
          <w:tcPr>
            <w:tcW w:type="dxa" w:w="66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7"/>
              </w:rPr>
              <w:t>Data +</w:t>
            </w:r>
          </w:p>
        </w:tc>
      </w:tr>
    </w:tbl>
    <w:p>
      <w:pPr>
        <w:spacing w:after="40"/>
      </w:pP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TERMINATION  </w:t>
      </w:r>
      <w:r>
        <w:rPr>
          <w:rFonts w:ascii="Aptos" w:hAnsi="Aptos"/>
          <w:color w:val="153247"/>
          <w:sz w:val="18"/>
        </w:rPr>
        <w:t>For long cable runs or electrically noisy environments, connect a 120 ohm resistor between pins 2 and 3 in a male XLR plug and fit it to the DMX output of the final fixture.</w:t>
      </w: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ADDRESS EXAMPLES  </w:t>
      </w:r>
      <w:r>
        <w:rPr>
          <w:rFonts w:ascii="Aptos" w:hAnsi="Aptos"/>
          <w:color w:val="153247"/>
          <w:sz w:val="18"/>
        </w:rPr>
        <w:t>For consecutive addressing: 14CH fixtures may start at 001, 015 and 029; 15CH fixtures may start at 001, 016 and 031. Leave additional address space when required by the controller profile.</w:t>
      </w:r>
    </w:p>
    <w:p>
      <w:pPr>
        <w:pStyle w:val="Heading2"/>
      </w:pPr>
      <w:r>
        <w:t>3.3 Control Panel and Menu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MENU or RETURN to leave the current item, ENTER to open or confirm, and UP/DOWN to change the selected option or value. Menu wording may vary with firmware.</w:t>
      </w:r>
    </w:p>
    <w:tbl>
      <w:tblPr>
        <w:tblStyle w:val="TableGrid"/>
        <w:tblW w:type="dxa" w:w="9650"/>
        <w:jc w:val="left"/>
        <w:tblLayout w:type="fixed"/>
        <w:tblLook w:firstColumn="1" w:firstRow="1" w:lastColumn="0" w:lastRow="0" w:noHBand="0" w:noVBand="1" w:val="04A0"/>
        <w:tblInd w:w="85" w:type="dxa"/>
      </w:tblPr>
      <w:tblGrid>
        <w:gridCol w:w="1900"/>
        <w:gridCol w:w="2700"/>
        <w:gridCol w:w="5050"/>
      </w:tblGrid>
      <w:tr>
        <w:trPr>
          <w:tblHeader w:val="true"/>
        </w:trP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6"/>
              </w:rPr>
              <w:t>Menu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6"/>
              </w:rPr>
              <w:t>Range / Options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6"/>
              </w:rPr>
              <w:t>Operation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Run Mode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DMX512 / Auto / Sound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Select console, automatic or sound-active operation.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DMX Address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001-512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Set the DMX start address and press ENTER to save.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Channel Mode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14CH / 15CH / firmware options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Select the controller profile that matches the fixture display.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Invert Pan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No / Yes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Reverse pan direction for the installation.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Invert Tilt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No / Yes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Reverse tilt direction for the installation.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Pan Adjust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000-255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Fine-adjust the pan home position.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Tilt Adjust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000-255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Fine-adjust the tilt home position.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Focus / Zoom Adjust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000-255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Fine-adjust the zoom home position.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Balance R / G / B / W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100-255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Set the maximum level used for white balance.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Backlight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On / 30 s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Keep the LCD on or switch it off after inactivity.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Sound Sense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0-100%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Adjust sound-active sensitivity.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Language / Orientation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Firmware dependent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Choose language or rotate the display when available.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Factory Default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Confirm / Cancel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Restore stored factory values.</w:t>
            </w:r>
          </w:p>
        </w:tc>
      </w:tr>
      <w:tr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Reset</w:t>
            </w:r>
          </w:p>
        </w:tc>
        <w:tc>
          <w:tcPr>
            <w:tcW w:type="dxa" w:w="27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Confirm / Cancel</w:t>
            </w:r>
          </w:p>
        </w:tc>
        <w:tc>
          <w:tcPr>
            <w:tcW w:type="dxa" w:w="50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5"/>
              </w:rPr>
              <w:t>Reinitialize the fixture and wait for movement to stop.</w:t>
            </w:r>
          </w:p>
        </w:tc>
      </w:tr>
    </w:tbl>
    <w:p>
      <w:pPr>
        <w:spacing w:after="40"/>
      </w:pPr>
    </w:p>
    <w:p>
      <w:pPr>
        <w:spacing w:before="80" w:after="160" w:line="269" w:lineRule="auto"/>
        <w:ind w:left="173" w:right="173"/>
        <w:shd w:fill="FDECEC"/>
        <w:pBdr>
          <w:left w:val="single" w:sz="18" w:space="7" w:color="B42318"/>
        </w:pBdr>
      </w:pPr>
      <w:r>
        <w:rPr>
          <w:rFonts w:ascii="Aptos" w:hAnsi="Aptos"/>
          <w:b/>
          <w:color w:val="B42318"/>
          <w:sz w:val="18"/>
        </w:rPr>
        <w:t xml:space="preserve">CALIBRATION  </w:t>
      </w:r>
      <w:r>
        <w:rPr>
          <w:rFonts w:ascii="Aptos" w:hAnsi="Aptos"/>
          <w:color w:val="153247"/>
          <w:sz w:val="18"/>
        </w:rPr>
        <w:t>Record original values before changing pan, tilt, zoom or RGBW balance. Incorrect settings can cause uneven color or abnormal mechanical positioning.</w:t>
      </w:r>
    </w:p>
    <w:p>
      <w:pPr>
        <w:sectPr>
          <w:headerReference w:type="default" r:id="rId24"/>
          <w:footerReference w:type="default" r:id="rId25"/>
          <w:pgSz w:w="12240" w:h="15840"/>
          <w:pgMar w:top="1181" w:right="1181" w:bottom="1181" w:left="1181" w:header="576" w:footer="576" w:gutter="0"/>
          <w:cols w:space="720"/>
          <w:titlePg/>
          <w:docGrid w:linePitch="360"/>
        </w:sectPr>
      </w:pPr>
    </w:p>
    <w:p>
      <w:pPr>
        <w:pStyle w:val="Heading1"/>
      </w:pPr>
      <w:r>
        <w:t>4  DMX Channel Reference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Select the profile shown by the fixture display and configure the controller with the matching channel layout. Do not use a profile only because it has the same channel count; compare the function order.</w:t>
      </w: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FIRMWARE PROFILES  </w:t>
      </w:r>
      <w:r>
        <w:rPr>
          <w:rFonts w:ascii="Aptos" w:hAnsi="Aptos"/>
          <w:color w:val="153247"/>
          <w:sz w:val="18"/>
        </w:rPr>
        <w:t>The archived AL1036WZ manual provides a complete 14CH chart. The user-supplied PDF provides a complete 15CH chart and separately mentions 16CH in menu text without a 16-channel chart. No undocumented 16CH functions are invented here.</w:t>
      </w:r>
    </w:p>
    <w:tbl>
      <w:tblPr>
        <w:tblStyle w:val="TableGrid"/>
        <w:tblW w:type="dxa" w:w="14250"/>
        <w:jc w:val="left"/>
        <w:tblLayout w:type="fixed"/>
        <w:tblLook w:firstColumn="1" w:firstRow="1" w:lastColumn="0" w:lastRow="0" w:noHBand="0" w:noVBand="1" w:val="04A0"/>
        <w:tblInd w:w="100" w:type="dxa"/>
      </w:tblPr>
      <w:tblGrid>
        <w:gridCol w:w="1600"/>
        <w:gridCol w:w="3600"/>
        <w:gridCol w:w="9050"/>
      </w:tblGrid>
      <w:tr>
        <w:trPr>
          <w:tblHeader w:val="true"/>
        </w:trPr>
        <w:tc>
          <w:tcPr>
            <w:tcW w:type="dxa" w:w="160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Profile</w:t>
            </w:r>
          </w:p>
        </w:tc>
        <w:tc>
          <w:tcPr>
            <w:tcW w:type="dxa" w:w="360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Source</w:t>
            </w:r>
          </w:p>
        </w:tc>
        <w:tc>
          <w:tcPr>
            <w:tcW w:type="dxa" w:w="9050"/>
            <w:tcMar>
              <w:top w:w="55" w:type="dxa"/>
              <w:start w:w="100" w:type="dxa"/>
              <w:bottom w:w="55" w:type="dxa"/>
              <w:end w:w="100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Use</w:t>
            </w:r>
          </w:p>
        </w:tc>
      </w:tr>
      <w:tr>
        <w:tc>
          <w:tcPr>
            <w:tcW w:type="dxa" w:w="16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14CH</w:t>
            </w:r>
          </w:p>
        </w:tc>
        <w:tc>
          <w:tcPr>
            <w:tcW w:type="dxa" w:w="360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Archived AL1036WZ manual</w:t>
            </w:r>
          </w:p>
        </w:tc>
        <w:tc>
          <w:tcPr>
            <w:tcW w:type="dxa" w:w="9050"/>
            <w:tcMar>
              <w:top w:w="55" w:type="dxa"/>
              <w:start w:w="100" w:type="dxa"/>
              <w:bottom w:w="55" w:type="dxa"/>
              <w:end w:w="100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Dimmer/strobe, RGBW, zoom, movement fine control and mode/reset</w:t>
            </w:r>
          </w:p>
        </w:tc>
      </w:tr>
      <w:tr>
        <w:tc>
          <w:tcPr>
            <w:tcW w:type="dxa" w:w="16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15CH</w:t>
            </w:r>
          </w:p>
        </w:tc>
        <w:tc>
          <w:tcPr>
            <w:tcW w:type="dxa" w:w="360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User-supplied PDF</w:t>
            </w:r>
          </w:p>
        </w:tc>
        <w:tc>
          <w:tcPr>
            <w:tcW w:type="dxa" w:w="9050"/>
            <w:tcMar>
              <w:top w:w="55" w:type="dxa"/>
              <w:start w:w="100" w:type="dxa"/>
              <w:bottom w:w="55" w:type="dxa"/>
              <w:end w:w="100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Movement speed first, dimmer, RGBW, strobe, zoom, function mode/speed and reset</w:t>
            </w:r>
          </w:p>
        </w:tc>
      </w:tr>
    </w:tbl>
    <w:p>
      <w:pPr>
        <w:spacing w:after="40"/>
      </w:pPr>
    </w:p>
    <w:p>
      <w:pPr>
        <w:pStyle w:val="Heading2"/>
      </w:pPr>
      <w:r>
        <w:t>4.1 14-Channel Profile - Archived AL1036WZ Manual</w:t>
      </w:r>
    </w:p>
    <w:tbl>
      <w:tblPr>
        <w:tblStyle w:val="TableGrid"/>
        <w:tblW w:type="dxa" w:w="14250"/>
        <w:jc w:val="left"/>
        <w:tblLayout w:type="fixed"/>
        <w:tblLook w:firstColumn="1" w:firstRow="1" w:lastColumn="0" w:lastRow="0" w:noHBand="0" w:noVBand="1" w:val="04A0"/>
        <w:tblInd w:w="85" w:type="dxa"/>
      </w:tblPr>
      <w:tblGrid>
        <w:gridCol w:w="1000"/>
        <w:gridCol w:w="3200"/>
        <w:gridCol w:w="1900"/>
        <w:gridCol w:w="8150"/>
      </w:tblGrid>
      <w:tr>
        <w:trPr>
          <w:tblHeader w:val="true"/>
        </w:trP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Description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0-540 degrees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Tilt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0-270 degrees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Master Dimmer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0-100% linear dimming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Strobe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000-003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No function / open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Strobe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004-255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Synchronized strobe, slow to fast, approximately 1-25 Hz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0-100% red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0-100% green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0-100% blue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White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0-100% white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Zoom / Focus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Linear motorized zoom/focus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Macro / Run Mode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000-155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DMX512 control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Macro / Run Mode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156-199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Automatic program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Macro / Run Mode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200-255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Sound-active program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 Fine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Fine pan adjustment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Tilt Fine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Fine tilt adjustment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Pan/Tilt Speed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Fast to slow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000-250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No function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251-255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Fixture reset after value is held for approximately 3 seconds</w:t>
            </w:r>
          </w:p>
        </w:tc>
      </w:tr>
    </w:tbl>
    <w:p>
      <w:pPr>
        <w:spacing w:after="40"/>
      </w:pPr>
    </w:p>
    <w:p>
      <w:r>
        <w:br w:type="page"/>
      </w:r>
    </w:p>
    <w:p>
      <w:pPr>
        <w:pStyle w:val="Heading2"/>
      </w:pPr>
      <w:r>
        <w:t>4.2 15-Channel Profile - User-Supplied PDF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The supplied chart gives full-channel ranges for channels 1-14 but does not provide internal boundaries for strobe or function macros. These are retained as continuous selectors without invented sub-ranges.</w:t>
      </w:r>
    </w:p>
    <w:tbl>
      <w:tblPr>
        <w:tblStyle w:val="TableGrid"/>
        <w:tblW w:type="dxa" w:w="14250"/>
        <w:jc w:val="left"/>
        <w:tblLayout w:type="fixed"/>
        <w:tblLook w:firstColumn="1" w:firstRow="1" w:lastColumn="0" w:lastRow="0" w:noHBand="0" w:noVBand="1" w:val="04A0"/>
        <w:tblInd w:w="85" w:type="dxa"/>
      </w:tblPr>
      <w:tblGrid>
        <w:gridCol w:w="1000"/>
        <w:gridCol w:w="3200"/>
        <w:gridCol w:w="1900"/>
        <w:gridCol w:w="8150"/>
      </w:tblGrid>
      <w:tr>
        <w:trPr>
          <w:tblHeader w:val="true"/>
        </w:trP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5"/>
              </w:rPr>
              <w:t>Description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 movement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Tilt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Tilt movement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Pan/Tilt Speed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Movement speed control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Master Dimmer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0-100% linear dimming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Area/group 1 red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Area/group 1 green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Area/group 1 blue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White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Area/group 1 white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Strobe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Strobe control; exact sub-ranges not supplied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Zoom / Focus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Motorized zoom/focus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Function Mode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Built-in function mode; sub-ranges not supplied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Function Mode Speed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Built-in function speed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Pan Fine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Fine pan adjustment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Tilt Fine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Fine tilt adjustment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000-249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No function</w:t>
            </w:r>
          </w:p>
        </w:tc>
      </w:tr>
      <w:tr>
        <w:tc>
          <w:tcPr>
            <w:tcW w:type="dxa" w:w="10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type="dxa" w:w="19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250-255</w:t>
            </w:r>
          </w:p>
        </w:tc>
        <w:tc>
          <w:tcPr>
            <w:tcW w:type="dxa" w:w="81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4"/>
              </w:rPr>
              <w:t>Fixture reset</w:t>
            </w:r>
          </w:p>
        </w:tc>
      </w:tr>
    </w:tbl>
    <w:p>
      <w:pPr>
        <w:spacing w:after="40"/>
      </w:pPr>
    </w:p>
    <w:p>
      <w:pPr>
        <w:sectPr>
          <w:headerReference w:type="default" r:id="rId27"/>
          <w:footerReference w:type="default" r:id="rId28"/>
          <w:pgSz w:w="15840" w:h="12240" w:orient="landscape"/>
          <w:pgMar w:top="792" w:right="792" w:bottom="792" w:left="792" w:header="576" w:footer="576" w:gutter="0"/>
          <w:cols w:space="720"/>
          <w:titlePg/>
          <w:docGrid w:linePitch="360"/>
        </w:sectPr>
      </w:pPr>
    </w:p>
    <w:p>
      <w:pPr>
        <w:pStyle w:val="Heading1"/>
      </w:pPr>
      <w:r>
        <w:t>5  Routine Maintenance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Cleaning frequency depends on operating conditions. Inspect the fixture after approximately 100 hours in demanding environments, then establish a suitable recurring interval.</w:t>
      </w:r>
    </w:p>
    <w:p>
      <w:pPr>
        <w:pStyle w:val="ListBullet"/>
      </w:pPr>
      <w:r>
        <w:t>Frequent use of smoke or fog machines.</w:t>
      </w:r>
    </w:p>
    <w:p>
      <w:pPr>
        <w:pStyle w:val="ListBullet"/>
      </w:pPr>
      <w:r>
        <w:t>Operation near an air inlet, outlet or other high-airflow location.</w:t>
      </w:r>
    </w:p>
    <w:p>
      <w:pPr>
        <w:pStyle w:val="ListBullet"/>
      </w:pPr>
      <w:r>
        <w:t>Dust from stage effects, building work or simulated outdoor environments.</w:t>
      </w:r>
    </w:p>
    <w:p>
      <w:pPr>
        <w:spacing w:before="80" w:after="160" w:line="269" w:lineRule="auto"/>
        <w:ind w:left="173" w:right="173"/>
        <w:shd w:fill="FDECEC"/>
        <w:pBdr>
          <w:left w:val="single" w:sz="18" w:space="7" w:color="B42318"/>
        </w:pBdr>
      </w:pPr>
      <w:r>
        <w:rPr>
          <w:rFonts w:ascii="Aptos" w:hAnsi="Aptos"/>
          <w:b/>
          <w:color w:val="B42318"/>
          <w:sz w:val="18"/>
        </w:rPr>
        <w:t xml:space="preserve">ATTENTION  </w:t>
      </w:r>
      <w:r>
        <w:rPr>
          <w:rFonts w:ascii="Aptos" w:hAnsi="Aptos"/>
          <w:color w:val="153247"/>
          <w:sz w:val="18"/>
        </w:rPr>
        <w:t>Disconnect AC power and allow the fixture to cool completely before opening the housing or cleaning any component.</w:t>
      </w:r>
    </w:p>
    <w:p>
      <w:pPr>
        <w:pStyle w:val="Heading2"/>
      </w:pPr>
      <w:r>
        <w:t>5.1 Cleaning Optical Components</w:t>
      </w:r>
    </w:p>
    <w:p>
      <w:pPr>
        <w:pStyle w:val="ListNumber"/>
      </w:pPr>
      <w:r>
        <w:t>Disconnect power, allow the fixture to cool completely and open the housing only if qualified to do so.</w:t>
      </w:r>
    </w:p>
    <w:p>
      <w:pPr>
        <w:pStyle w:val="ListNumber"/>
      </w:pPr>
      <w:r>
        <w:t>Use clean, dry compressed air to remove loose dust.</w:t>
      </w:r>
    </w:p>
    <w:p>
      <w:pPr>
        <w:pStyle w:val="ListNumber"/>
      </w:pPr>
      <w:r>
        <w:t>For marks on the front lens, use lint-free optical tissue lightly moistened with purified water or a suitable optical cleaner.</w:t>
      </w:r>
    </w:p>
    <w:p>
      <w:pPr>
        <w:pStyle w:val="ListNumber"/>
      </w:pPr>
      <w:r>
        <w:t>Wipe gently from the center outward. Do not scratch the lens or colored coatings.</w:t>
      </w:r>
    </w:p>
    <w:p>
      <w:pPr>
        <w:pStyle w:val="ListNumber"/>
      </w:pPr>
      <w:r>
        <w:t>Dry with a clean, soft cloth or clean compressed air before reconnecting power.</w:t>
      </w:r>
    </w:p>
    <w:p>
      <w:pPr>
        <w:pStyle w:val="Heading2"/>
      </w:pPr>
      <w:r>
        <w:t>5.2 Fans and Vents</w:t>
      </w:r>
    </w:p>
    <w:p>
      <w:pPr>
        <w:spacing w:before="0" w:after="100" w:line="283" w:lineRule="auto"/>
      </w:pPr>
      <w:r>
        <w:rPr>
          <w:rFonts w:ascii="Aptos" w:hAnsi="Aptos"/>
          <w:b w:val="0"/>
          <w:i w:val="0"/>
        </w:rPr>
        <w:t>Remove dust from fans and ventilation openings with a soft brush, lint-free cloth, vacuum cleaner or clean compressed air. Do not force debris deeper into the fixture.</w:t>
      </w:r>
    </w:p>
    <w:p>
      <w:pPr>
        <w:pStyle w:val="Heading2"/>
      </w:pPr>
      <w:r>
        <w:t>5.3 Inspection</w:t>
      </w:r>
    </w:p>
    <w:p>
      <w:pPr>
        <w:pStyle w:val="ListBullet"/>
      </w:pPr>
      <w:r>
        <w:t>Check the power cable, plug, DMX connectors and strain relief for damage.</w:t>
      </w:r>
    </w:p>
    <w:p>
      <w:pPr>
        <w:pStyle w:val="ListBullet"/>
      </w:pPr>
      <w:r>
        <w:t>Check the lens, yoke, base, bracket, clamps and safety attachment for cracks or looseness.</w:t>
      </w:r>
    </w:p>
    <w:p>
      <w:pPr>
        <w:pStyle w:val="ListBullet"/>
      </w:pPr>
      <w:r>
        <w:t>Run a pan/tilt reset and listen for unusual noise or repeated position errors.</w:t>
      </w:r>
    </w:p>
    <w:p>
      <w:pPr>
        <w:pStyle w:val="Heading1"/>
      </w:pPr>
      <w:r>
        <w:t>6  Troubleshooting and Service</w:t>
      </w:r>
    </w:p>
    <w:tbl>
      <w:tblPr>
        <w:tblStyle w:val="TableGrid"/>
        <w:tblW w:type="dxa" w:w="9650"/>
        <w:jc w:val="left"/>
        <w:tblLayout w:type="fixed"/>
        <w:tblLook w:firstColumn="1" w:firstRow="1" w:lastColumn="0" w:lastRow="0" w:noHBand="0" w:noVBand="1" w:val="04A0"/>
        <w:tblInd w:w="85" w:type="dxa"/>
      </w:tblPr>
      <w:tblGrid>
        <w:gridCol w:w="3200"/>
        <w:gridCol w:w="6450"/>
      </w:tblGrid>
      <w:tr>
        <w:trPr>
          <w:tblHeader w:val="true"/>
        </w:trP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Symptom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shd w:fill="1677A8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/>
                <w:color w:val="FFFFFF"/>
                <w:sz w:val="17"/>
              </w:rPr>
              <w:t>Check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Fixture does not power on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Verify the supply, product-label voltage, power cable, plug and fuse/service protection.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Fixture does not respond to DMX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Confirm DMX mode, start address, controller profile, data polarity and cable connections.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Unexpected channel behavior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Verify that the controller chart matches the selected 14CH or 15CH firmware profile.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Pan or tilt is reversed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Change the Invert Pan or Invert Tilt setting.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Movement does not return accurately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Run Reset; if permitted, check Pan/Tilt Adjust values and encoder settings.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Zoom position is incorrect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Run Reset and check Focus/Zoom Adjust without overwriting the original value.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Sound mode is unresponsive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Increase Sound Sense and confirm that Run Mode is set to Sound.</w:t>
            </w:r>
          </w:p>
        </w:tc>
      </w:tr>
      <w:tr>
        <w:tc>
          <w:tcPr>
            <w:tcW w:type="dxa" w:w="320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center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Reduced output or overheating</w:t>
            </w:r>
          </w:p>
        </w:tc>
        <w:tc>
          <w:tcPr>
            <w:tcW w:type="dxa" w:w="6450"/>
            <w:tcMar>
              <w:top w:w="18" w:type="dxa"/>
              <w:start w:w="85" w:type="dxa"/>
              <w:bottom w:w="18" w:type="dxa"/>
              <w:end w:w="85" w:type="dxa"/>
            </w:tcMar>
            <w:shd w:fill="F3F7F9"/>
            <w:vAlign w:val="center"/>
          </w:tcPr>
          <w:p>
            <w:pPr>
              <w:spacing w:before="0" w:after="0" w:line="240" w:lineRule="auto"/>
              <w:jc w:val="left"/>
            </w:pPr>
            <w:r/>
            <w:r>
              <w:rPr>
                <w:rFonts w:ascii="Aptos" w:hAnsi="Aptos"/>
                <w:b w:val="0"/>
                <w:color w:val="153247"/>
                <w:sz w:val="16"/>
              </w:rPr>
              <w:t>Allow the fixture to cool, then clean fans, vents and optical components.</w:t>
            </w:r>
          </w:p>
        </w:tc>
      </w:tr>
    </w:tbl>
    <w:p>
      <w:pPr>
        <w:spacing w:after="40"/>
      </w:pPr>
    </w:p>
    <w:p>
      <w:pPr>
        <w:spacing w:before="80" w:after="160" w:line="269" w:lineRule="auto"/>
        <w:ind w:left="173" w:right="173"/>
        <w:shd w:fill="FDECEC"/>
        <w:pBdr>
          <w:left w:val="single" w:sz="18" w:space="7" w:color="B42318"/>
        </w:pBdr>
      </w:pPr>
      <w:r>
        <w:rPr>
          <w:rFonts w:ascii="Aptos" w:hAnsi="Aptos"/>
          <w:b/>
          <w:color w:val="B42318"/>
          <w:sz w:val="18"/>
        </w:rPr>
        <w:t xml:space="preserve">SERVICE  </w:t>
      </w:r>
      <w:r>
        <w:rPr>
          <w:rFonts w:ascii="Aptos" w:hAnsi="Aptos"/>
          <w:color w:val="153247"/>
          <w:sz w:val="18"/>
        </w:rPr>
        <w:t>All repairs not described in this manual must be referred to a qualified technician. Do not operate a fixture with damaged wiring, abnormal movement, persistent errors or signs of overheating.</w:t>
      </w:r>
    </w:p>
    <w:p>
      <w:pPr>
        <w:spacing w:before="80" w:after="160" w:line="269" w:lineRule="auto"/>
        <w:ind w:left="173" w:right="173"/>
        <w:shd w:fill="F3F7F9"/>
        <w:pBdr>
          <w:left w:val="single" w:sz="18" w:space="7" w:color="1677A8"/>
        </w:pBdr>
      </w:pPr>
      <w:r>
        <w:rPr>
          <w:rFonts w:ascii="Aptos" w:hAnsi="Aptos"/>
          <w:b/>
          <w:color w:val="1677A8"/>
          <w:sz w:val="18"/>
        </w:rPr>
        <w:t xml:space="preserve">END OF MANUAL  </w:t>
      </w:r>
      <w:r>
        <w:rPr>
          <w:rFonts w:ascii="Aptos" w:hAnsi="Aptos"/>
          <w:color w:val="153247"/>
          <w:sz w:val="18"/>
        </w:rPr>
        <w:t>Retain this manual with the fixture and verify the product label, controller profile, local electrical requirements and rigging procedures before each installation.</w:t>
      </w:r>
    </w:p>
    <w:sectPr w:rsidR="00FC693F" w:rsidRPr="0006063C" w:rsidSect="00034616">
      <w:headerReference w:type="default" r:id="rId29"/>
      <w:footerReference w:type="default" r:id="rId30"/>
      <w:pgSz w:w="12240" w:h="15840"/>
      <w:pgMar w:top="1181" w:right="1181" w:bottom="1181" w:left="1181" w:header="576" w:footer="576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/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footer4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/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footer5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/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footer6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/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footer7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/>
    <w:r>
      <w:rPr>
        <w:rFonts w:ascii="Aptos" w:hAnsi="Aptos"/>
        <w:color w:val="5A6872"/>
        <w:sz w:val="16"/>
      </w:rPr>
      <w:t xml:space="preserve">Page </w:t>
    </w:r>
    <w:fldSimple w:instr="PAGE"/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W09 · 19 × 40 W LED Bee Eye Moving Head Eco</w:t>
    </w:r>
  </w:p>
</w:hdr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W09 · 19 × 40 W LED Bee Eye Moving Head Eco · DMX Reference</w:t>
    </w: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AL740WZ - 7 x 40 W LED Wash Moving Head</w:t>
    </w:r>
  </w:p>
</w:hdr>
</file>

<file path=word/header4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AL740WZ - 7 x 40 W LED Wash Moving Head - DMX Reference</w:t>
    </w:r>
  </w:p>
</w:hdr>
</file>

<file path=word/header5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AL1036WZ - 36 x 12 W LED Wash Moving Head</w:t>
    </w:r>
  </w:p>
</w:hdr>
</file>

<file path=word/header6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AL1036WZ - 36 x 12 W LED Wash Moving Head - DMX Reference</w:t>
    </w:r>
  </w:p>
</w:hdr>
</file>

<file path=word/header7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  <w:jc w:val="right"/>
    </w:pPr>
    <w:r>
      <w:rPr>
        <w:rFonts w:ascii="Aptos" w:hAnsi="Aptos"/>
        <w:b/>
        <w:color w:val="5A6872"/>
        <w:sz w:val="16"/>
      </w:rPr>
      <w:t>AL1036WZ - 36 x 12 W LED Wash Moving Head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00" w:line="283" w:lineRule="auto"/>
    </w:pPr>
    <w:rPr>
      <w:rFonts w:ascii="Aptos" w:hAnsi="Aptos"/>
      <w:color w:val="153247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pageBreakBefore/>
      <w:spacing w:before="320" w:after="160"/>
      <w:outlineLvl w:val="0"/>
    </w:pPr>
    <w:rPr>
      <w:rFonts w:asciiTheme="majorHAnsi" w:eastAsiaTheme="majorEastAsia" w:hAnsiTheme="majorHAnsi" w:cstheme="majorBidi" w:ascii="Aptos Display" w:hAnsi="Aptos Display"/>
      <w:b/>
      <w:bCs/>
      <w:color w:val="153247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20" w:after="100"/>
      <w:outlineLvl w:val="1"/>
    </w:pPr>
    <w:rPr>
      <w:rFonts w:asciiTheme="majorHAnsi" w:eastAsiaTheme="majorEastAsia" w:hAnsiTheme="majorHAnsi" w:cstheme="majorBidi" w:ascii="Aptos Display" w:hAnsi="Aptos Display"/>
      <w:b/>
      <w:bCs/>
      <w:color w:val="1677A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40" w:after="60"/>
      <w:outlineLvl w:val="2"/>
    </w:pPr>
    <w:rPr>
      <w:rFonts w:asciiTheme="majorHAnsi" w:eastAsiaTheme="majorEastAsia" w:hAnsiTheme="majorHAnsi" w:cstheme="majorBidi" w:ascii="Aptos" w:hAnsi="Aptos"/>
      <w:b/>
      <w:bCs/>
      <w:color w:val="153247"/>
      <w:sz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keepNext/>
      <w:pBdr>
        <w:bottom w:val="single" w:sz="8" w:space="4" w:color="4F81BD" w:themeColor="accent1"/>
      </w:pBdr>
      <w:spacing w:after="240" w:line="240" w:lineRule="auto" w:before="0"/>
      <w:contextualSpacing/>
    </w:pPr>
    <w:rPr>
      <w:rFonts w:asciiTheme="majorHAnsi" w:eastAsiaTheme="majorEastAsia" w:hAnsiTheme="majorHAnsi" w:cstheme="majorBidi" w:ascii="Aptos Display" w:hAnsi="Aptos Display"/>
      <w:b/>
      <w:color w:val="153247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keepNext/>
      <w:numPr>
        <w:ilvl w:val="1"/>
      </w:numPr>
      <w:spacing w:before="0" w:after="160"/>
    </w:pPr>
    <w:rPr>
      <w:rFonts w:asciiTheme="majorHAnsi" w:eastAsiaTheme="majorEastAsia" w:hAnsiTheme="majorHAnsi" w:cstheme="majorBidi" w:ascii="Aptos" w:hAnsi="Aptos"/>
      <w:b w:val="0"/>
      <w:i/>
      <w:iCs/>
      <w:color w:val="1677A8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nualBullet">
    <w:name w:val="Manual Bullet"/>
    <w:basedOn w:val="Normal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20" Type="http://schemas.openxmlformats.org/officeDocument/2006/relationships/footer" Target="footer3.xml"/><Relationship Id="rId21" Type="http://schemas.openxmlformats.org/officeDocument/2006/relationships/image" Target="media/image7.png"/><Relationship Id="rId22" Type="http://schemas.openxmlformats.org/officeDocument/2006/relationships/header" Target="header4.xml"/><Relationship Id="rId23" Type="http://schemas.openxmlformats.org/officeDocument/2006/relationships/footer" Target="footer4.xml"/><Relationship Id="rId24" Type="http://schemas.openxmlformats.org/officeDocument/2006/relationships/header" Target="header5.xml"/><Relationship Id="rId25" Type="http://schemas.openxmlformats.org/officeDocument/2006/relationships/footer" Target="footer5.xml"/><Relationship Id="rId26" Type="http://schemas.openxmlformats.org/officeDocument/2006/relationships/image" Target="media/image8.png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header" Target="header7.xml"/><Relationship Id="rId30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AL1036WZ 36 x 12 W LED Wash Moving Head User Manual</dc:title>
  <dc:subject>Professionally reorganized English user manual</dc:subject>
  <dc:creator/>
  <cp:keywords>AL1036WZ, 36x12W, LED wash moving head, RGBW, zoom, DMX512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